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41" w:rsidRPr="006E5108" w:rsidRDefault="003F3341" w:rsidP="008C01BB">
      <w:pPr>
        <w:spacing w:after="0" w:line="360" w:lineRule="auto"/>
        <w:jc w:val="both"/>
        <w:rPr>
          <w:rFonts w:ascii="Palatino Linotype" w:eastAsia="Calibri" w:hAnsi="Palatino Linotype" w:cs="Arial"/>
          <w:b/>
          <w:bCs/>
          <w:sz w:val="24"/>
          <w:szCs w:val="24"/>
          <w:lang w:eastAsia="es-MX"/>
        </w:rPr>
      </w:pPr>
      <w:r w:rsidRPr="006E5108">
        <w:rPr>
          <w:rFonts w:ascii="Palatino Linotype" w:eastAsia="Calibri" w:hAnsi="Palatino Linotype" w:cs="Arial"/>
          <w:b/>
          <w:sz w:val="24"/>
          <w:szCs w:val="24"/>
        </w:rPr>
        <w:t xml:space="preserve">OPINIÓN PARTICULAR DEL COMISIONADO JOSÉ GUADALUPE LUNA HERNÁNDEZ EN EL RECURSO DE REVISIÓN </w:t>
      </w:r>
      <w:r w:rsidR="001A67CD" w:rsidRPr="006E5108">
        <w:rPr>
          <w:rFonts w:ascii="Palatino Linotype" w:hAnsi="Palatino Linotype"/>
          <w:b/>
          <w:sz w:val="24"/>
          <w:szCs w:val="24"/>
        </w:rPr>
        <w:t>02654</w:t>
      </w:r>
      <w:r w:rsidR="001A67CD" w:rsidRPr="006E5108">
        <w:rPr>
          <w:rFonts w:ascii="Palatino Linotype" w:hAnsi="Palatino Linotype" w:cs="Arial"/>
          <w:b/>
          <w:bCs/>
          <w:sz w:val="24"/>
          <w:szCs w:val="24"/>
        </w:rPr>
        <w:t>/INFOEM/IP/RR/2018</w:t>
      </w:r>
      <w:r w:rsidRPr="006E5108">
        <w:rPr>
          <w:rFonts w:ascii="Palatino Linotype" w:hAnsi="Palatino Linotype"/>
          <w:sz w:val="24"/>
          <w:szCs w:val="24"/>
        </w:rPr>
        <w:t>.</w:t>
      </w:r>
    </w:p>
    <w:p w:rsidR="003F3341" w:rsidRPr="006E5108" w:rsidRDefault="003F3341" w:rsidP="008C01BB">
      <w:pPr>
        <w:spacing w:after="0" w:line="360" w:lineRule="auto"/>
        <w:jc w:val="both"/>
        <w:rPr>
          <w:rFonts w:ascii="Palatino Linotype" w:eastAsia="Calibri" w:hAnsi="Palatino Linotype" w:cs="Arial"/>
          <w:sz w:val="24"/>
          <w:szCs w:val="24"/>
        </w:rPr>
      </w:pPr>
    </w:p>
    <w:p w:rsidR="003F3341" w:rsidRPr="006E5108" w:rsidRDefault="003F3341" w:rsidP="008C01BB">
      <w:pPr>
        <w:spacing w:after="0" w:line="360" w:lineRule="auto"/>
        <w:jc w:val="both"/>
        <w:rPr>
          <w:rFonts w:ascii="Palatino Linotype" w:eastAsia="Calibri" w:hAnsi="Palatino Linotype" w:cs="Arial"/>
          <w:sz w:val="24"/>
          <w:szCs w:val="24"/>
        </w:rPr>
      </w:pPr>
      <w:r w:rsidRPr="006E5108">
        <w:rPr>
          <w:rFonts w:ascii="Palatino Linotype" w:eastAsia="Calibri" w:hAnsi="Palatino Linotype" w:cs="Arial"/>
          <w:b/>
          <w:sz w:val="24"/>
          <w:szCs w:val="24"/>
        </w:rPr>
        <w:t>Resumen de la opinión:</w:t>
      </w:r>
      <w:r w:rsidRPr="006E5108">
        <w:rPr>
          <w:rFonts w:ascii="Palatino Linotype" w:eastAsia="Calibri" w:hAnsi="Palatino Linotype" w:cs="Arial"/>
          <w:sz w:val="24"/>
          <w:szCs w:val="24"/>
        </w:rPr>
        <w:t xml:space="preserve"> Los </w:t>
      </w:r>
      <w:r w:rsidR="001A67CD" w:rsidRPr="006E5108">
        <w:rPr>
          <w:rFonts w:ascii="Palatino Linotype" w:eastAsia="Calibri" w:hAnsi="Palatino Linotype" w:cs="Arial"/>
          <w:sz w:val="24"/>
          <w:szCs w:val="24"/>
        </w:rPr>
        <w:t>Sujetos O</w:t>
      </w:r>
      <w:r w:rsidR="00CB796B">
        <w:rPr>
          <w:rFonts w:ascii="Palatino Linotype" w:eastAsia="Calibri" w:hAnsi="Palatino Linotype" w:cs="Arial"/>
          <w:sz w:val="24"/>
          <w:szCs w:val="24"/>
        </w:rPr>
        <w:t xml:space="preserve">bligados, deben en todo momento </w:t>
      </w:r>
      <w:r w:rsidR="001A67CD" w:rsidRPr="006E5108">
        <w:rPr>
          <w:rFonts w:ascii="Palatino Linotype" w:eastAsia="Calibri" w:hAnsi="Palatino Linotype" w:cs="Arial"/>
          <w:sz w:val="24"/>
          <w:szCs w:val="24"/>
        </w:rPr>
        <w:t>dar atención a las solicitudes de información</w:t>
      </w:r>
      <w:r w:rsidRPr="006E5108">
        <w:rPr>
          <w:rFonts w:ascii="Palatino Linotype" w:eastAsia="Calibri" w:hAnsi="Palatino Linotype" w:cs="Arial"/>
          <w:sz w:val="24"/>
          <w:szCs w:val="24"/>
        </w:rPr>
        <w:t>,</w:t>
      </w:r>
      <w:r w:rsidR="001A67CD" w:rsidRPr="006E5108">
        <w:rPr>
          <w:rFonts w:ascii="Palatino Linotype" w:eastAsia="Calibri" w:hAnsi="Palatino Linotype" w:cs="Arial"/>
          <w:sz w:val="24"/>
          <w:szCs w:val="24"/>
        </w:rPr>
        <w:t xml:space="preserve"> sin embargo, cuando en la solicitud de información se haga alusión a un posible acto de corrupción, se debe de tomar una actitud más diligente </w:t>
      </w:r>
      <w:r w:rsidRPr="006E5108">
        <w:rPr>
          <w:rFonts w:ascii="Palatino Linotype" w:eastAsia="Calibri" w:hAnsi="Palatino Linotype" w:cs="Arial"/>
          <w:sz w:val="24"/>
          <w:szCs w:val="24"/>
        </w:rPr>
        <w:t xml:space="preserve">debiendo </w:t>
      </w:r>
      <w:r w:rsidR="001A67CD" w:rsidRPr="006E5108">
        <w:rPr>
          <w:rFonts w:ascii="Palatino Linotype" w:eastAsia="Calibri" w:hAnsi="Palatino Linotype" w:cs="Arial"/>
          <w:sz w:val="24"/>
          <w:szCs w:val="24"/>
        </w:rPr>
        <w:t xml:space="preserve">realizar una búsqueda exhaustiva y otorgar la información en los términos </w:t>
      </w:r>
      <w:r w:rsidR="006E5108">
        <w:rPr>
          <w:rFonts w:ascii="Palatino Linotype" w:eastAsia="Calibri" w:hAnsi="Palatino Linotype" w:cs="Arial"/>
          <w:sz w:val="24"/>
          <w:szCs w:val="24"/>
        </w:rPr>
        <w:t>que é</w:t>
      </w:r>
      <w:r w:rsidR="001A67CD" w:rsidRPr="006E5108">
        <w:rPr>
          <w:rFonts w:ascii="Palatino Linotype" w:eastAsia="Calibri" w:hAnsi="Palatino Linotype" w:cs="Arial"/>
          <w:sz w:val="24"/>
          <w:szCs w:val="24"/>
        </w:rPr>
        <w:t xml:space="preserve">sta se solicita, privilegiando la rendición de cuentas y la participación de las personas en la toma de decisiones. </w:t>
      </w:r>
    </w:p>
    <w:p w:rsidR="003F3341" w:rsidRPr="006E5108" w:rsidRDefault="003F3341" w:rsidP="008C01BB">
      <w:pPr>
        <w:spacing w:after="0" w:line="360" w:lineRule="auto"/>
        <w:jc w:val="both"/>
        <w:rPr>
          <w:rFonts w:ascii="Palatino Linotype" w:eastAsia="Calibri" w:hAnsi="Palatino Linotype" w:cs="Arial"/>
          <w:sz w:val="24"/>
          <w:szCs w:val="24"/>
        </w:rPr>
      </w:pPr>
    </w:p>
    <w:p w:rsidR="003F3341" w:rsidRPr="006E5108" w:rsidRDefault="006E5108" w:rsidP="006E5108">
      <w:pPr>
        <w:keepNext/>
        <w:keepLines/>
        <w:spacing w:before="240" w:after="0" w:line="360" w:lineRule="auto"/>
        <w:jc w:val="center"/>
        <w:rPr>
          <w:rFonts w:ascii="Palatino Linotype" w:eastAsiaTheme="majorEastAsia" w:hAnsi="Palatino Linotype" w:cs="Arial"/>
          <w:sz w:val="24"/>
          <w:szCs w:val="24"/>
          <w:lang w:eastAsia="es-MX"/>
        </w:rPr>
      </w:pPr>
      <w:r w:rsidRPr="006E5108">
        <w:rPr>
          <w:rFonts w:ascii="Palatino Linotype" w:eastAsiaTheme="majorEastAsia" w:hAnsi="Palatino Linotype" w:cs="Arial"/>
          <w:b/>
          <w:sz w:val="24"/>
          <w:szCs w:val="24"/>
          <w:lang w:eastAsia="es-MX"/>
        </w:rPr>
        <w:t>ÍNDICE.</w:t>
      </w:r>
    </w:p>
    <w:sdt>
      <w:sdtPr>
        <w:rPr>
          <w:rFonts w:ascii="Palatino Linotype" w:eastAsiaTheme="minorHAnsi" w:hAnsi="Palatino Linotype" w:cstheme="minorBidi"/>
          <w:sz w:val="24"/>
          <w:szCs w:val="24"/>
          <w:lang w:val="es-ES" w:eastAsia="en-US"/>
        </w:rPr>
        <w:id w:val="-1628690016"/>
        <w:docPartObj>
          <w:docPartGallery w:val="Table of Contents"/>
          <w:docPartUnique/>
        </w:docPartObj>
      </w:sdtPr>
      <w:sdtEndPr>
        <w:rPr>
          <w:bCs/>
        </w:rPr>
      </w:sdtEndPr>
      <w:sdtContent>
        <w:p w:rsidR="006E5108" w:rsidRDefault="003F3341">
          <w:pPr>
            <w:pStyle w:val="TDC1"/>
            <w:tabs>
              <w:tab w:val="left" w:pos="440"/>
              <w:tab w:val="right" w:leader="dot" w:pos="8828"/>
            </w:tabs>
            <w:rPr>
              <w:rFonts w:cstheme="minorBidi"/>
              <w:noProof/>
            </w:rPr>
          </w:pPr>
          <w:r w:rsidRPr="006E5108">
            <w:rPr>
              <w:rFonts w:ascii="Palatino Linotype" w:hAnsi="Palatino Linotype"/>
              <w:noProof/>
              <w:sz w:val="24"/>
              <w:szCs w:val="24"/>
            </w:rPr>
            <w:fldChar w:fldCharType="begin"/>
          </w:r>
          <w:r w:rsidRPr="006E5108">
            <w:rPr>
              <w:rFonts w:ascii="Palatino Linotype" w:hAnsi="Palatino Linotype"/>
              <w:b/>
              <w:noProof/>
              <w:sz w:val="24"/>
              <w:szCs w:val="24"/>
            </w:rPr>
            <w:instrText xml:space="preserve"> TOC \o "1-3" \h \z \u </w:instrText>
          </w:r>
          <w:r w:rsidRPr="006E5108">
            <w:rPr>
              <w:rFonts w:ascii="Palatino Linotype" w:hAnsi="Palatino Linotype"/>
              <w:noProof/>
              <w:sz w:val="24"/>
              <w:szCs w:val="24"/>
            </w:rPr>
            <w:fldChar w:fldCharType="separate"/>
          </w:r>
          <w:hyperlink w:anchor="_Toc524960002" w:history="1">
            <w:r w:rsidR="006E5108" w:rsidRPr="00B42D48">
              <w:rPr>
                <w:rStyle w:val="Hipervnculo"/>
                <w:rFonts w:ascii="Palatino Linotype" w:eastAsia="Times New Roman" w:hAnsi="Palatino Linotype" w:cstheme="majorBidi"/>
                <w:b/>
                <w:noProof/>
              </w:rPr>
              <w:t>I.</w:t>
            </w:r>
            <w:r w:rsidR="006E5108">
              <w:rPr>
                <w:rFonts w:cstheme="minorBidi"/>
                <w:noProof/>
              </w:rPr>
              <w:tab/>
            </w:r>
            <w:r w:rsidR="006E5108" w:rsidRPr="00B42D48">
              <w:rPr>
                <w:rStyle w:val="Hipervnculo"/>
                <w:rFonts w:ascii="Palatino Linotype" w:eastAsia="Times New Roman" w:hAnsi="Palatino Linotype" w:cstheme="majorBidi"/>
                <w:b/>
                <w:noProof/>
              </w:rPr>
              <w:t>Consideraciones Generales</w:t>
            </w:r>
            <w:r w:rsidR="006E5108">
              <w:rPr>
                <w:noProof/>
                <w:webHidden/>
              </w:rPr>
              <w:tab/>
            </w:r>
            <w:r w:rsidR="006E5108">
              <w:rPr>
                <w:noProof/>
                <w:webHidden/>
              </w:rPr>
              <w:fldChar w:fldCharType="begin"/>
            </w:r>
            <w:r w:rsidR="006E5108">
              <w:rPr>
                <w:noProof/>
                <w:webHidden/>
              </w:rPr>
              <w:instrText xml:space="preserve"> PAGEREF _Toc524960002 \h </w:instrText>
            </w:r>
            <w:r w:rsidR="006E5108">
              <w:rPr>
                <w:noProof/>
                <w:webHidden/>
              </w:rPr>
            </w:r>
            <w:r w:rsidR="006E5108">
              <w:rPr>
                <w:noProof/>
                <w:webHidden/>
              </w:rPr>
              <w:fldChar w:fldCharType="separate"/>
            </w:r>
            <w:r w:rsidR="002B0407">
              <w:rPr>
                <w:noProof/>
                <w:webHidden/>
              </w:rPr>
              <w:t>1</w:t>
            </w:r>
            <w:r w:rsidR="006E5108">
              <w:rPr>
                <w:noProof/>
                <w:webHidden/>
              </w:rPr>
              <w:fldChar w:fldCharType="end"/>
            </w:r>
          </w:hyperlink>
        </w:p>
        <w:p w:rsidR="006E5108" w:rsidRDefault="003B5D16">
          <w:pPr>
            <w:pStyle w:val="TDC1"/>
            <w:tabs>
              <w:tab w:val="left" w:pos="660"/>
              <w:tab w:val="right" w:leader="dot" w:pos="8828"/>
            </w:tabs>
            <w:rPr>
              <w:rFonts w:cstheme="minorBidi"/>
              <w:noProof/>
            </w:rPr>
          </w:pPr>
          <w:hyperlink w:anchor="_Toc524960003" w:history="1">
            <w:r w:rsidR="006E5108" w:rsidRPr="00B42D48">
              <w:rPr>
                <w:rStyle w:val="Hipervnculo"/>
                <w:rFonts w:ascii="Palatino Linotype" w:eastAsia="Calibri" w:hAnsi="Palatino Linotype" w:cstheme="majorBidi"/>
                <w:b/>
                <w:noProof/>
                <w:lang w:val="es-ES"/>
              </w:rPr>
              <w:t>II.</w:t>
            </w:r>
            <w:r w:rsidR="006E5108">
              <w:rPr>
                <w:rFonts w:cstheme="minorBidi"/>
                <w:noProof/>
              </w:rPr>
              <w:tab/>
            </w:r>
            <w:r w:rsidR="006E5108" w:rsidRPr="00B42D48">
              <w:rPr>
                <w:rStyle w:val="Hipervnculo"/>
                <w:rFonts w:ascii="Palatino Linotype" w:eastAsia="Calibri" w:hAnsi="Palatino Linotype" w:cstheme="majorBidi"/>
                <w:b/>
                <w:noProof/>
                <w:lang w:val="es-ES"/>
              </w:rPr>
              <w:t>De los requerimientos planteados en el recurso de revisión.</w:t>
            </w:r>
            <w:r w:rsidR="006E5108">
              <w:rPr>
                <w:noProof/>
                <w:webHidden/>
              </w:rPr>
              <w:tab/>
            </w:r>
            <w:r w:rsidR="006E5108">
              <w:rPr>
                <w:noProof/>
                <w:webHidden/>
              </w:rPr>
              <w:fldChar w:fldCharType="begin"/>
            </w:r>
            <w:r w:rsidR="006E5108">
              <w:rPr>
                <w:noProof/>
                <w:webHidden/>
              </w:rPr>
              <w:instrText xml:space="preserve"> PAGEREF _Toc524960003 \h </w:instrText>
            </w:r>
            <w:r w:rsidR="006E5108">
              <w:rPr>
                <w:noProof/>
                <w:webHidden/>
              </w:rPr>
            </w:r>
            <w:r w:rsidR="006E5108">
              <w:rPr>
                <w:noProof/>
                <w:webHidden/>
              </w:rPr>
              <w:fldChar w:fldCharType="separate"/>
            </w:r>
            <w:r w:rsidR="002B0407">
              <w:rPr>
                <w:noProof/>
                <w:webHidden/>
              </w:rPr>
              <w:t>3</w:t>
            </w:r>
            <w:r w:rsidR="006E5108">
              <w:rPr>
                <w:noProof/>
                <w:webHidden/>
              </w:rPr>
              <w:fldChar w:fldCharType="end"/>
            </w:r>
          </w:hyperlink>
        </w:p>
        <w:p w:rsidR="006E5108" w:rsidRDefault="003B5D16">
          <w:pPr>
            <w:pStyle w:val="TDC2"/>
            <w:rPr>
              <w:rFonts w:eastAsiaTheme="minorEastAsia"/>
              <w:noProof/>
              <w:lang w:eastAsia="es-MX"/>
            </w:rPr>
          </w:pPr>
          <w:hyperlink w:anchor="_Toc524960004" w:history="1">
            <w:r w:rsidR="006E5108" w:rsidRPr="00B42D48">
              <w:rPr>
                <w:rStyle w:val="Hipervnculo"/>
                <w:rFonts w:ascii="Palatino Linotype" w:eastAsiaTheme="majorEastAsia" w:hAnsi="Palatino Linotype" w:cstheme="majorBidi"/>
                <w:b/>
                <w:noProof/>
              </w:rPr>
              <w:t>III. Del Derecho de acceso a la información pública como forma de rendición de cuentas</w:t>
            </w:r>
            <w:r w:rsidR="006E5108">
              <w:rPr>
                <w:rStyle w:val="Hipervnculo"/>
                <w:rFonts w:ascii="Palatino Linotype" w:eastAsiaTheme="majorEastAsia" w:hAnsi="Palatino Linotype" w:cstheme="majorBidi"/>
                <w:b/>
                <w:noProof/>
              </w:rPr>
              <w:t>…</w:t>
            </w:r>
            <w:r w:rsidR="006E5108">
              <w:rPr>
                <w:noProof/>
                <w:webHidden/>
              </w:rPr>
              <w:t>……………………………………………………………………………………………………………………………………..</w:t>
            </w:r>
            <w:r w:rsidR="006E5108">
              <w:rPr>
                <w:noProof/>
                <w:webHidden/>
              </w:rPr>
              <w:fldChar w:fldCharType="begin"/>
            </w:r>
            <w:r w:rsidR="006E5108">
              <w:rPr>
                <w:noProof/>
                <w:webHidden/>
              </w:rPr>
              <w:instrText xml:space="preserve"> PAGEREF _Toc524960004 \h </w:instrText>
            </w:r>
            <w:r w:rsidR="006E5108">
              <w:rPr>
                <w:noProof/>
                <w:webHidden/>
              </w:rPr>
            </w:r>
            <w:r w:rsidR="006E5108">
              <w:rPr>
                <w:noProof/>
                <w:webHidden/>
              </w:rPr>
              <w:fldChar w:fldCharType="separate"/>
            </w:r>
            <w:r w:rsidR="002B0407">
              <w:rPr>
                <w:noProof/>
                <w:webHidden/>
              </w:rPr>
              <w:t>5</w:t>
            </w:r>
            <w:r w:rsidR="006E5108">
              <w:rPr>
                <w:noProof/>
                <w:webHidden/>
              </w:rPr>
              <w:fldChar w:fldCharType="end"/>
            </w:r>
          </w:hyperlink>
        </w:p>
        <w:p w:rsidR="006E5108" w:rsidRDefault="003B5D16">
          <w:pPr>
            <w:pStyle w:val="TDC1"/>
            <w:tabs>
              <w:tab w:val="right" w:leader="dot" w:pos="8828"/>
            </w:tabs>
            <w:rPr>
              <w:rFonts w:cstheme="minorBidi"/>
              <w:noProof/>
            </w:rPr>
          </w:pPr>
          <w:hyperlink w:anchor="_Toc524960005" w:history="1">
            <w:r w:rsidR="006E5108" w:rsidRPr="00B42D48">
              <w:rPr>
                <w:rStyle w:val="Hipervnculo"/>
                <w:rFonts w:ascii="Palatino Linotype" w:eastAsia="Calibri" w:hAnsi="Palatino Linotype" w:cstheme="majorBidi"/>
                <w:b/>
                <w:noProof/>
              </w:rPr>
              <w:t>V. Conclusión.</w:t>
            </w:r>
            <w:r w:rsidR="006E5108">
              <w:rPr>
                <w:noProof/>
                <w:webHidden/>
              </w:rPr>
              <w:tab/>
            </w:r>
            <w:r w:rsidR="006E5108">
              <w:rPr>
                <w:noProof/>
                <w:webHidden/>
              </w:rPr>
              <w:fldChar w:fldCharType="begin"/>
            </w:r>
            <w:r w:rsidR="006E5108">
              <w:rPr>
                <w:noProof/>
                <w:webHidden/>
              </w:rPr>
              <w:instrText xml:space="preserve"> PAGEREF _Toc524960005 \h </w:instrText>
            </w:r>
            <w:r w:rsidR="006E5108">
              <w:rPr>
                <w:noProof/>
                <w:webHidden/>
              </w:rPr>
            </w:r>
            <w:r w:rsidR="006E5108">
              <w:rPr>
                <w:noProof/>
                <w:webHidden/>
              </w:rPr>
              <w:fldChar w:fldCharType="separate"/>
            </w:r>
            <w:r w:rsidR="002B0407">
              <w:rPr>
                <w:noProof/>
                <w:webHidden/>
              </w:rPr>
              <w:t>10</w:t>
            </w:r>
            <w:r w:rsidR="006E5108">
              <w:rPr>
                <w:noProof/>
                <w:webHidden/>
              </w:rPr>
              <w:fldChar w:fldCharType="end"/>
            </w:r>
          </w:hyperlink>
        </w:p>
        <w:p w:rsidR="003F3341" w:rsidRPr="006E5108" w:rsidRDefault="003F3341" w:rsidP="008C01BB">
          <w:pPr>
            <w:spacing w:line="360" w:lineRule="auto"/>
            <w:rPr>
              <w:rFonts w:ascii="Palatino Linotype" w:hAnsi="Palatino Linotype"/>
              <w:b/>
              <w:bCs/>
              <w:sz w:val="24"/>
              <w:szCs w:val="24"/>
              <w:lang w:val="es-ES"/>
            </w:rPr>
          </w:pPr>
          <w:r w:rsidRPr="006E5108">
            <w:rPr>
              <w:rFonts w:ascii="Palatino Linotype" w:hAnsi="Palatino Linotype"/>
              <w:b/>
              <w:bCs/>
              <w:sz w:val="24"/>
              <w:szCs w:val="24"/>
              <w:lang w:val="es-ES"/>
            </w:rPr>
            <w:fldChar w:fldCharType="end"/>
          </w:r>
          <w:r w:rsidRPr="006E5108">
            <w:rPr>
              <w:rFonts w:ascii="Palatino Linotype" w:hAnsi="Palatino Linotype"/>
              <w:b/>
              <w:bCs/>
              <w:sz w:val="24"/>
              <w:szCs w:val="24"/>
              <w:lang w:val="es-ES"/>
            </w:rPr>
            <w:t xml:space="preserve">                                                                                                                              </w:t>
          </w:r>
        </w:p>
      </w:sdtContent>
    </w:sdt>
    <w:p w:rsidR="003F3341" w:rsidRPr="006E5108" w:rsidRDefault="003F3341" w:rsidP="00AE7D98">
      <w:pPr>
        <w:keepNext/>
        <w:keepLines/>
        <w:numPr>
          <w:ilvl w:val="0"/>
          <w:numId w:val="28"/>
        </w:numPr>
        <w:spacing w:after="0" w:line="360" w:lineRule="auto"/>
        <w:ind w:left="0" w:firstLine="0"/>
        <w:outlineLvl w:val="0"/>
        <w:rPr>
          <w:rFonts w:ascii="Palatino Linotype" w:eastAsia="Times New Roman" w:hAnsi="Palatino Linotype" w:cstheme="majorBidi"/>
          <w:b/>
          <w:sz w:val="24"/>
          <w:szCs w:val="24"/>
        </w:rPr>
      </w:pPr>
      <w:bookmarkStart w:id="0" w:name="_Toc524960002"/>
      <w:r w:rsidRPr="006E5108">
        <w:rPr>
          <w:rFonts w:ascii="Palatino Linotype" w:eastAsia="Times New Roman" w:hAnsi="Palatino Linotype" w:cstheme="majorBidi"/>
          <w:b/>
          <w:sz w:val="24"/>
          <w:szCs w:val="24"/>
        </w:rPr>
        <w:t>Consideraciones Generales</w:t>
      </w:r>
      <w:bookmarkEnd w:id="0"/>
    </w:p>
    <w:p w:rsidR="003F3341" w:rsidRPr="006E5108" w:rsidRDefault="003F3341" w:rsidP="00AE7D98">
      <w:pPr>
        <w:tabs>
          <w:tab w:val="left" w:pos="440"/>
          <w:tab w:val="left" w:pos="880"/>
          <w:tab w:val="right" w:leader="dot" w:pos="8828"/>
        </w:tabs>
        <w:spacing w:after="0" w:line="360" w:lineRule="auto"/>
        <w:jc w:val="both"/>
        <w:rPr>
          <w:rFonts w:ascii="Palatino Linotype" w:hAnsi="Palatino Linotype"/>
          <w:b/>
          <w:noProof/>
          <w:sz w:val="24"/>
          <w:szCs w:val="24"/>
          <w:lang w:val="es-ES"/>
        </w:rPr>
      </w:pPr>
    </w:p>
    <w:p w:rsidR="003F3341" w:rsidRPr="006E5108" w:rsidRDefault="003F3341" w:rsidP="008C01BB">
      <w:pPr>
        <w:numPr>
          <w:ilvl w:val="0"/>
          <w:numId w:val="27"/>
        </w:numPr>
        <w:spacing w:after="0" w:line="360" w:lineRule="auto"/>
        <w:ind w:left="0" w:firstLine="0"/>
        <w:contextualSpacing/>
        <w:jc w:val="both"/>
        <w:rPr>
          <w:rFonts w:ascii="Palatino Linotype" w:eastAsia="Calibri" w:hAnsi="Palatino Linotype" w:cs="Arial"/>
          <w:sz w:val="24"/>
          <w:szCs w:val="24"/>
        </w:rPr>
      </w:pPr>
      <w:r w:rsidRPr="006E5108">
        <w:rPr>
          <w:rFonts w:ascii="Palatino Linotype" w:eastAsia="Times New Roman" w:hAnsi="Palatino Linotype" w:cs="Arial"/>
          <w:sz w:val="24"/>
          <w:szCs w:val="24"/>
          <w:lang w:val="es-ES_tradnl"/>
        </w:rPr>
        <w:t xml:space="preserve">He concurrido con mi opinión particular de la presente resolución emitida </w:t>
      </w:r>
      <w:r w:rsidRPr="006E5108">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Trigésima </w:t>
      </w:r>
      <w:r w:rsidRPr="006E5108">
        <w:rPr>
          <w:rFonts w:ascii="Palatino Linotype" w:eastAsia="Calibri" w:hAnsi="Palatino Linotype" w:cs="Arial"/>
          <w:sz w:val="24"/>
          <w:szCs w:val="24"/>
        </w:rPr>
        <w:lastRenderedPageBreak/>
        <w:t xml:space="preserve">Tercera Sesión Ordinaria celebrada el del día </w:t>
      </w:r>
      <w:r w:rsidR="001A67CD" w:rsidRPr="006E5108">
        <w:rPr>
          <w:rFonts w:ascii="Palatino Linotype" w:eastAsia="Calibri" w:hAnsi="Palatino Linotype" w:cs="Arial"/>
          <w:sz w:val="24"/>
          <w:szCs w:val="24"/>
        </w:rPr>
        <w:t xml:space="preserve">doce </w:t>
      </w:r>
      <w:r w:rsidRPr="006E5108">
        <w:rPr>
          <w:rFonts w:ascii="Palatino Linotype" w:eastAsia="Calibri" w:hAnsi="Palatino Linotype" w:cs="Arial"/>
          <w:sz w:val="24"/>
          <w:szCs w:val="24"/>
        </w:rPr>
        <w:t xml:space="preserve"> (</w:t>
      </w:r>
      <w:r w:rsidR="001A67CD" w:rsidRPr="006E5108">
        <w:rPr>
          <w:rFonts w:ascii="Palatino Linotype" w:eastAsia="Calibri" w:hAnsi="Palatino Linotype" w:cs="Arial"/>
          <w:sz w:val="24"/>
          <w:szCs w:val="24"/>
        </w:rPr>
        <w:t>12</w:t>
      </w:r>
      <w:r w:rsidRPr="006E5108">
        <w:rPr>
          <w:rFonts w:ascii="Palatino Linotype" w:eastAsia="Calibri" w:hAnsi="Palatino Linotype" w:cs="Arial"/>
          <w:sz w:val="24"/>
          <w:szCs w:val="24"/>
        </w:rPr>
        <w:t xml:space="preserve">) de </w:t>
      </w:r>
      <w:r w:rsidR="001A67CD" w:rsidRPr="006E5108">
        <w:rPr>
          <w:rFonts w:ascii="Palatino Linotype" w:eastAsia="Calibri" w:hAnsi="Palatino Linotype" w:cs="Arial"/>
          <w:sz w:val="24"/>
          <w:szCs w:val="24"/>
        </w:rPr>
        <w:t>septiembre del año dos mil dieciocho</w:t>
      </w:r>
      <w:r w:rsidRPr="006E5108">
        <w:rPr>
          <w:rFonts w:ascii="Palatino Linotype" w:eastAsia="Calibri" w:hAnsi="Palatino Linotype" w:cs="Arial"/>
          <w:sz w:val="24"/>
          <w:szCs w:val="24"/>
        </w:rPr>
        <w:t>, en el recurso de revisión interpuesto por</w:t>
      </w:r>
      <w:r w:rsidR="00B350FA" w:rsidRPr="006E5108">
        <w:rPr>
          <w:rFonts w:ascii="Palatino Linotype" w:eastAsia="Calibri" w:hAnsi="Palatino Linotype" w:cs="Arial"/>
          <w:sz w:val="24"/>
          <w:szCs w:val="24"/>
        </w:rPr>
        <w:t xml:space="preserve"> </w:t>
      </w:r>
      <w:r w:rsidR="003B5D16" w:rsidRPr="003B5D16">
        <w:rPr>
          <w:rFonts w:ascii="Palatino Linotype" w:eastAsia="Calibri" w:hAnsi="Palatino Linotype" w:cs="Arial"/>
          <w:b/>
          <w:sz w:val="24"/>
          <w:szCs w:val="24"/>
          <w:highlight w:val="black"/>
        </w:rPr>
        <w:t>------------------------------------</w:t>
      </w:r>
      <w:r w:rsidR="000125F6" w:rsidRPr="006E5108">
        <w:rPr>
          <w:rFonts w:ascii="Palatino Linotype" w:eastAsia="Calibri" w:hAnsi="Palatino Linotype" w:cs="Arial"/>
          <w:sz w:val="24"/>
          <w:szCs w:val="24"/>
        </w:rPr>
        <w:t xml:space="preserve"> </w:t>
      </w:r>
      <w:r w:rsidR="00B350FA" w:rsidRPr="006E5108">
        <w:rPr>
          <w:rFonts w:ascii="Palatino Linotype" w:eastAsia="Calibri" w:hAnsi="Palatino Linotype" w:cs="Arial"/>
          <w:sz w:val="24"/>
          <w:szCs w:val="24"/>
        </w:rPr>
        <w:t xml:space="preserve">en contra de la respuesta de la </w:t>
      </w:r>
      <w:r w:rsidR="00B350FA" w:rsidRPr="006E5108">
        <w:rPr>
          <w:rFonts w:ascii="Palatino Linotype" w:eastAsia="Calibri" w:hAnsi="Palatino Linotype" w:cs="Arial"/>
          <w:b/>
          <w:sz w:val="24"/>
          <w:szCs w:val="24"/>
        </w:rPr>
        <w:t>Universidad Autónoma del Estado de México</w:t>
      </w:r>
      <w:r w:rsidRPr="006E5108">
        <w:rPr>
          <w:rFonts w:ascii="Palatino Linotype" w:eastAsia="Times New Roman" w:hAnsi="Palatino Linotype" w:cs="Arial"/>
          <w:b/>
          <w:sz w:val="24"/>
          <w:szCs w:val="24"/>
          <w:lang w:val="es-ES" w:eastAsia="es-ES"/>
        </w:rPr>
        <w:t>,</w:t>
      </w:r>
      <w:r w:rsidRPr="006E5108">
        <w:rPr>
          <w:rFonts w:ascii="Palatino Linotype" w:eastAsia="Calibri" w:hAnsi="Palatino Linotype" w:cs="Arial"/>
          <w:b/>
          <w:sz w:val="24"/>
          <w:szCs w:val="24"/>
        </w:rPr>
        <w:t xml:space="preserve"> </w:t>
      </w:r>
      <w:r w:rsidRPr="006E5108">
        <w:rPr>
          <w:rFonts w:ascii="Palatino Linotype" w:eastAsia="Calibri" w:hAnsi="Palatino Linotype" w:cs="Arial"/>
          <w:sz w:val="24"/>
          <w:szCs w:val="24"/>
        </w:rPr>
        <w:t xml:space="preserve">procedimiento que le fue asignado el número de expediente </w:t>
      </w:r>
      <w:r w:rsidR="00B350FA" w:rsidRPr="006E5108">
        <w:rPr>
          <w:rFonts w:ascii="Palatino Linotype" w:hAnsi="Palatino Linotype"/>
          <w:b/>
          <w:sz w:val="24"/>
          <w:szCs w:val="24"/>
        </w:rPr>
        <w:t>03235</w:t>
      </w:r>
      <w:r w:rsidR="000125F6" w:rsidRPr="006E5108">
        <w:rPr>
          <w:rFonts w:ascii="Palatino Linotype" w:hAnsi="Palatino Linotype" w:cs="Arial"/>
          <w:b/>
          <w:bCs/>
          <w:sz w:val="24"/>
          <w:szCs w:val="24"/>
        </w:rPr>
        <w:t>/INFOEM/IP/RR/2017</w:t>
      </w:r>
      <w:r w:rsidR="000125F6" w:rsidRPr="006E5108">
        <w:rPr>
          <w:rFonts w:ascii="Palatino Linotype" w:hAnsi="Palatino Linotype"/>
          <w:sz w:val="24"/>
          <w:szCs w:val="24"/>
        </w:rPr>
        <w:t>.</w:t>
      </w:r>
    </w:p>
    <w:p w:rsidR="003F3341" w:rsidRPr="006E5108" w:rsidRDefault="003F3341" w:rsidP="008C01BB">
      <w:pPr>
        <w:spacing w:after="0" w:line="360" w:lineRule="auto"/>
        <w:contextualSpacing/>
        <w:jc w:val="both"/>
        <w:rPr>
          <w:rFonts w:ascii="Palatino Linotype" w:eastAsia="Calibri" w:hAnsi="Palatino Linotype" w:cs="Arial"/>
          <w:sz w:val="24"/>
          <w:szCs w:val="24"/>
        </w:rPr>
      </w:pPr>
      <w:bookmarkStart w:id="1" w:name="_GoBack"/>
    </w:p>
    <w:bookmarkEnd w:id="1"/>
    <w:p w:rsidR="003F3341" w:rsidRPr="006E5108" w:rsidRDefault="003F3341" w:rsidP="008C01BB">
      <w:pPr>
        <w:numPr>
          <w:ilvl w:val="0"/>
          <w:numId w:val="27"/>
        </w:numPr>
        <w:spacing w:after="0" w:line="360" w:lineRule="auto"/>
        <w:ind w:left="0" w:firstLine="0"/>
        <w:contextualSpacing/>
        <w:jc w:val="both"/>
        <w:rPr>
          <w:rFonts w:ascii="Palatino Linotype" w:eastAsia="Calibri" w:hAnsi="Palatino Linotype" w:cs="Arial"/>
          <w:sz w:val="24"/>
          <w:szCs w:val="24"/>
        </w:rPr>
      </w:pPr>
      <w:r w:rsidRPr="006E5108">
        <w:rPr>
          <w:rFonts w:ascii="Palatino Linotype" w:eastAsia="Calibri" w:hAnsi="Palatino Linotype" w:cs="Arial"/>
          <w:sz w:val="24"/>
          <w:szCs w:val="24"/>
        </w:rPr>
        <w:t>La re</w:t>
      </w:r>
      <w:r w:rsidR="00B350FA" w:rsidRPr="006E5108">
        <w:rPr>
          <w:rFonts w:ascii="Palatino Linotype" w:eastAsia="Calibri" w:hAnsi="Palatino Linotype" w:cs="Arial"/>
          <w:sz w:val="24"/>
          <w:szCs w:val="24"/>
        </w:rPr>
        <w:t xml:space="preserve">solución puntualmente determina </w:t>
      </w:r>
      <w:r w:rsidR="00B350FA" w:rsidRPr="006E5108">
        <w:rPr>
          <w:rFonts w:ascii="Palatino Linotype" w:eastAsia="Calibri" w:hAnsi="Palatino Linotype" w:cs="Arial"/>
          <w:b/>
          <w:sz w:val="24"/>
          <w:szCs w:val="24"/>
        </w:rPr>
        <w:t>MODIFICAR</w:t>
      </w:r>
      <w:r w:rsidR="00B350FA" w:rsidRPr="006E5108">
        <w:rPr>
          <w:rFonts w:ascii="Palatino Linotype" w:eastAsia="Calibri" w:hAnsi="Palatino Linotype" w:cs="Arial"/>
          <w:sz w:val="24"/>
          <w:szCs w:val="24"/>
        </w:rPr>
        <w:t xml:space="preserve"> la respuesta emitida por parte del Sujeto Obligado. </w:t>
      </w:r>
    </w:p>
    <w:p w:rsidR="003F3341" w:rsidRPr="006E5108" w:rsidRDefault="003F3341" w:rsidP="008C01BB">
      <w:pPr>
        <w:spacing w:after="0" w:line="360" w:lineRule="auto"/>
        <w:contextualSpacing/>
        <w:jc w:val="both"/>
        <w:rPr>
          <w:rFonts w:ascii="Palatino Linotype" w:eastAsia="Calibri" w:hAnsi="Palatino Linotype" w:cs="Arial"/>
          <w:sz w:val="24"/>
          <w:szCs w:val="24"/>
        </w:rPr>
      </w:pPr>
    </w:p>
    <w:p w:rsidR="003F3341" w:rsidRPr="006E5108" w:rsidRDefault="003F3341" w:rsidP="008C01BB">
      <w:pPr>
        <w:numPr>
          <w:ilvl w:val="0"/>
          <w:numId w:val="27"/>
        </w:numPr>
        <w:spacing w:after="0" w:line="360" w:lineRule="auto"/>
        <w:ind w:left="0" w:firstLine="0"/>
        <w:contextualSpacing/>
        <w:jc w:val="both"/>
        <w:rPr>
          <w:rFonts w:ascii="Palatino Linotype" w:eastAsia="Calibri" w:hAnsi="Palatino Linotype" w:cs="Arial"/>
          <w:sz w:val="24"/>
          <w:szCs w:val="24"/>
          <w:lang w:val="es-ES"/>
        </w:rPr>
      </w:pPr>
      <w:r w:rsidRPr="006E5108">
        <w:rPr>
          <w:rFonts w:ascii="Palatino Linotype" w:eastAsia="Calibri" w:hAnsi="Palatino Linotype" w:cs="Arial"/>
          <w:sz w:val="24"/>
          <w:szCs w:val="24"/>
        </w:rPr>
        <w:t xml:space="preserve">Estando de acuerdo con la resolución formulada por el comisionado ponente, mi </w:t>
      </w:r>
      <w:r w:rsidR="000125F6" w:rsidRPr="006E5108">
        <w:rPr>
          <w:rFonts w:ascii="Palatino Linotype" w:eastAsia="Calibri" w:hAnsi="Palatino Linotype" w:cs="Arial"/>
          <w:sz w:val="24"/>
          <w:szCs w:val="24"/>
        </w:rPr>
        <w:t>opinión</w:t>
      </w:r>
      <w:r w:rsidR="00B350FA" w:rsidRPr="006E5108">
        <w:rPr>
          <w:rFonts w:ascii="Palatino Linotype" w:eastAsia="Calibri" w:hAnsi="Palatino Linotype" w:cs="Arial"/>
          <w:sz w:val="24"/>
          <w:szCs w:val="24"/>
        </w:rPr>
        <w:t xml:space="preserve"> particular se deriva de la falta de pericia que se observó por parte del Sujeto Obligado al atender la solicitud de información, además de que a mi consideración en los casos en los que los particulares manifiesten posibles actos de corrupción</w:t>
      </w:r>
      <w:r w:rsidR="005755EF" w:rsidRPr="006E5108">
        <w:rPr>
          <w:rFonts w:ascii="Palatino Linotype" w:eastAsia="Calibri" w:hAnsi="Palatino Linotype" w:cs="Arial"/>
          <w:sz w:val="24"/>
          <w:szCs w:val="24"/>
        </w:rPr>
        <w:t xml:space="preserve"> se hace patente el deber de atender la solicitudes de la forma más diligente posible.  </w:t>
      </w:r>
    </w:p>
    <w:p w:rsidR="003F3341" w:rsidRPr="006E5108" w:rsidRDefault="003F3341" w:rsidP="008C01BB">
      <w:pPr>
        <w:spacing w:line="360" w:lineRule="auto"/>
        <w:contextualSpacing/>
        <w:rPr>
          <w:rFonts w:ascii="Palatino Linotype" w:eastAsia="Calibri" w:hAnsi="Palatino Linotype" w:cs="Arial"/>
          <w:sz w:val="24"/>
          <w:szCs w:val="24"/>
          <w:lang w:val="es-ES"/>
        </w:rPr>
      </w:pPr>
    </w:p>
    <w:p w:rsidR="00AE7D98" w:rsidRPr="006E5108" w:rsidRDefault="003F3341" w:rsidP="00AE7D98">
      <w:pPr>
        <w:numPr>
          <w:ilvl w:val="0"/>
          <w:numId w:val="27"/>
        </w:numPr>
        <w:spacing w:after="0" w:line="360" w:lineRule="auto"/>
        <w:ind w:left="0" w:firstLine="0"/>
        <w:contextualSpacing/>
        <w:jc w:val="both"/>
        <w:rPr>
          <w:rFonts w:ascii="Palatino Linotype" w:eastAsia="Calibri" w:hAnsi="Palatino Linotype" w:cs="Arial"/>
          <w:sz w:val="24"/>
          <w:szCs w:val="24"/>
          <w:lang w:val="es-ES"/>
        </w:rPr>
      </w:pPr>
      <w:r w:rsidRPr="006E5108">
        <w:rPr>
          <w:rFonts w:ascii="Palatino Linotype" w:eastAsia="Calibri" w:hAnsi="Palatino Linotype" w:cs="Arial"/>
          <w:sz w:val="24"/>
          <w:szCs w:val="24"/>
          <w:lang w:val="es-ES"/>
        </w:rPr>
        <w:t>Por</w:t>
      </w:r>
      <w:r w:rsidRPr="006E5108">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3F3341" w:rsidRPr="006E5108" w:rsidRDefault="003F3341" w:rsidP="008C01BB">
      <w:pPr>
        <w:spacing w:line="360" w:lineRule="auto"/>
        <w:contextualSpacing/>
        <w:rPr>
          <w:rFonts w:ascii="Palatino Linotype" w:eastAsia="Calibri" w:hAnsi="Palatino Linotype" w:cs="Arial"/>
          <w:sz w:val="24"/>
          <w:szCs w:val="24"/>
          <w:lang w:val="es-ES"/>
        </w:rPr>
      </w:pPr>
    </w:p>
    <w:p w:rsidR="003F3341" w:rsidRPr="006E5108" w:rsidRDefault="003F3341" w:rsidP="008C01BB">
      <w:pPr>
        <w:keepNext/>
        <w:keepLines/>
        <w:numPr>
          <w:ilvl w:val="0"/>
          <w:numId w:val="28"/>
        </w:numPr>
        <w:spacing w:before="240" w:after="0" w:line="360" w:lineRule="auto"/>
        <w:ind w:left="0" w:firstLine="0"/>
        <w:outlineLvl w:val="0"/>
        <w:rPr>
          <w:rFonts w:ascii="Palatino Linotype" w:eastAsia="Calibri" w:hAnsi="Palatino Linotype" w:cstheme="majorBidi"/>
          <w:b/>
          <w:sz w:val="24"/>
          <w:szCs w:val="24"/>
          <w:lang w:val="es-ES"/>
        </w:rPr>
      </w:pPr>
      <w:bookmarkStart w:id="2" w:name="_Toc524960003"/>
      <w:r w:rsidRPr="006E5108">
        <w:rPr>
          <w:rFonts w:ascii="Palatino Linotype" w:eastAsia="Calibri" w:hAnsi="Palatino Linotype" w:cstheme="majorBidi"/>
          <w:b/>
          <w:sz w:val="24"/>
          <w:szCs w:val="24"/>
          <w:lang w:val="es-ES"/>
        </w:rPr>
        <w:lastRenderedPageBreak/>
        <w:t>De los requerimientos planteados en el recurso de revisión.</w:t>
      </w:r>
      <w:bookmarkEnd w:id="2"/>
    </w:p>
    <w:p w:rsidR="003F3341" w:rsidRPr="006E5108" w:rsidRDefault="003F3341" w:rsidP="008C01BB">
      <w:pPr>
        <w:spacing w:line="360" w:lineRule="auto"/>
        <w:contextualSpacing/>
        <w:rPr>
          <w:rFonts w:ascii="Palatino Linotype" w:eastAsia="Calibri" w:hAnsi="Palatino Linotype" w:cs="Arial"/>
          <w:sz w:val="24"/>
          <w:szCs w:val="24"/>
          <w:lang w:val="es-ES"/>
        </w:rPr>
      </w:pPr>
    </w:p>
    <w:p w:rsidR="00AE7D98" w:rsidRPr="006E5108" w:rsidRDefault="003F3341" w:rsidP="005755EF">
      <w:pPr>
        <w:pStyle w:val="Prrafodelista"/>
        <w:numPr>
          <w:ilvl w:val="0"/>
          <w:numId w:val="27"/>
        </w:numPr>
        <w:autoSpaceDE w:val="0"/>
        <w:autoSpaceDN w:val="0"/>
        <w:adjustRightInd w:val="0"/>
        <w:spacing w:line="360" w:lineRule="auto"/>
        <w:ind w:left="0" w:right="-93" w:firstLine="0"/>
        <w:jc w:val="both"/>
        <w:rPr>
          <w:rFonts w:ascii="Palatino Linotype" w:eastAsia="Calibri" w:hAnsi="Palatino Linotype" w:cs="Times New Roman"/>
          <w:sz w:val="24"/>
          <w:szCs w:val="24"/>
        </w:rPr>
      </w:pPr>
      <w:r w:rsidRPr="006E5108">
        <w:rPr>
          <w:rFonts w:ascii="Palatino Linotype" w:eastAsia="Calibri" w:hAnsi="Palatino Linotype" w:cs="Arial"/>
          <w:sz w:val="24"/>
          <w:szCs w:val="24"/>
          <w:lang w:val="es-ES"/>
        </w:rPr>
        <w:t xml:space="preserve">En </w:t>
      </w:r>
      <w:r w:rsidRPr="006E5108">
        <w:rPr>
          <w:rFonts w:ascii="Palatino Linotype" w:eastAsia="Calibri" w:hAnsi="Palatino Linotype" w:cs="Times New Roman"/>
          <w:sz w:val="24"/>
          <w:szCs w:val="24"/>
        </w:rPr>
        <w:t xml:space="preserve">ejercicio del derecho constitucional que le asiste al particular, formuló una solicitud </w:t>
      </w:r>
      <w:r w:rsidR="005755EF" w:rsidRPr="006E5108">
        <w:rPr>
          <w:rFonts w:ascii="Palatino Linotype" w:eastAsia="Calibri" w:hAnsi="Palatino Linotype" w:cs="Times New Roman"/>
          <w:sz w:val="24"/>
          <w:szCs w:val="24"/>
        </w:rPr>
        <w:t xml:space="preserve">de información dirigida hacia la </w:t>
      </w:r>
      <w:r w:rsidR="005755EF" w:rsidRPr="006E5108">
        <w:rPr>
          <w:rFonts w:ascii="Palatino Linotype" w:eastAsia="Calibri" w:hAnsi="Palatino Linotype" w:cs="Times New Roman"/>
          <w:b/>
          <w:sz w:val="24"/>
          <w:szCs w:val="24"/>
        </w:rPr>
        <w:t>Universidad Autónoma del Estado de México</w:t>
      </w:r>
      <w:r w:rsidRPr="006E5108">
        <w:rPr>
          <w:rFonts w:ascii="Palatino Linotype" w:eastAsia="Calibri" w:hAnsi="Palatino Linotype" w:cs="Times New Roman"/>
          <w:sz w:val="24"/>
          <w:szCs w:val="24"/>
        </w:rPr>
        <w:t>, en dicha</w:t>
      </w:r>
      <w:r w:rsidR="00AE7D98" w:rsidRPr="006E5108">
        <w:rPr>
          <w:rFonts w:ascii="Palatino Linotype" w:eastAsia="Calibri" w:hAnsi="Palatino Linotype" w:cs="Times New Roman"/>
          <w:sz w:val="24"/>
          <w:szCs w:val="24"/>
        </w:rPr>
        <w:t xml:space="preserve"> solicitud planteó lo siguiente:</w:t>
      </w:r>
    </w:p>
    <w:p w:rsidR="005755EF" w:rsidRPr="006E5108" w:rsidRDefault="005755EF" w:rsidP="005755EF">
      <w:pPr>
        <w:autoSpaceDE w:val="0"/>
        <w:autoSpaceDN w:val="0"/>
        <w:adjustRightInd w:val="0"/>
        <w:ind w:right="900"/>
        <w:jc w:val="both"/>
        <w:rPr>
          <w:rFonts w:ascii="Palatino Linotype" w:hAnsi="Palatino Linotype"/>
          <w:b/>
          <w:i/>
          <w:color w:val="000000"/>
          <w:sz w:val="24"/>
          <w:szCs w:val="24"/>
          <w:lang w:val="es-ES"/>
        </w:rPr>
      </w:pPr>
    </w:p>
    <w:p w:rsidR="005755EF" w:rsidRPr="006E5108" w:rsidRDefault="005755EF" w:rsidP="005755EF">
      <w:pPr>
        <w:autoSpaceDE w:val="0"/>
        <w:autoSpaceDN w:val="0"/>
        <w:adjustRightInd w:val="0"/>
        <w:ind w:left="851" w:right="900"/>
        <w:jc w:val="both"/>
        <w:rPr>
          <w:rFonts w:ascii="Palatino Linotype" w:hAnsi="Palatino Linotype"/>
          <w:i/>
          <w:color w:val="000000"/>
          <w:sz w:val="24"/>
          <w:szCs w:val="24"/>
          <w:lang w:val="es-ES"/>
        </w:rPr>
      </w:pPr>
      <w:r w:rsidRPr="006E5108">
        <w:rPr>
          <w:rFonts w:ascii="Palatino Linotype" w:hAnsi="Palatino Linotype"/>
          <w:i/>
          <w:color w:val="000000"/>
          <w:sz w:val="24"/>
          <w:szCs w:val="24"/>
          <w:lang w:val="es-ES"/>
        </w:rPr>
        <w:t xml:space="preserve"> “Conde, Conde, Conde, servidora pública VERONICA CONDE donde te fuiste a meter, siendo la Subdirectora administrativa a mi me parece que eres la gatillera del CORRUPTO DIRECTOR DE LA CUTEX también conocido como Ricardo Colín, es por ello que siendo tú ahora la SUBDIRECTORA ADMINISTRATIVA </w:t>
      </w:r>
      <w:r w:rsidRPr="006E5108">
        <w:rPr>
          <w:rFonts w:ascii="Palatino Linotype" w:hAnsi="Palatino Linotype"/>
          <w:b/>
          <w:i/>
          <w:color w:val="000000"/>
          <w:sz w:val="24"/>
          <w:szCs w:val="24"/>
          <w:u w:val="single"/>
          <w:lang w:val="es-ES"/>
        </w:rPr>
        <w:t>me puedes explicar con EL SOPORTE DOCUMENTAL, fundamento legal, desglose de material, desglose de mano de obra, costo del material empleado y TODO LO DEMÁS RELATIVO acerca de los costos POR CADA EDIFICIO en el Centro Universitario UAEM Texcoco</w:t>
      </w:r>
      <w:r w:rsidRPr="006E5108">
        <w:rPr>
          <w:rFonts w:ascii="Palatino Linotype" w:hAnsi="Palatino Linotype"/>
          <w:i/>
          <w:color w:val="000000"/>
          <w:sz w:val="24"/>
          <w:szCs w:val="24"/>
          <w:lang w:val="es-ES"/>
        </w:rPr>
        <w:t>, pues tengo entendido que se está gastando inclusive en uno de ellos DOCE MILLONES DE PESOS!!!!!!!!!!!!!!!!!!!!!!!!!!!!!!!!!!!!! y ¿a dónde esta todo ese dinero? Que explicación administrativa, jurídica, comprobable das a eso Conde? YO SE LOS DIJE, TARDE O TEMPRANO UNA HUELGA COMENZARÁ, Y ESTO A PENAS ES EL PRINCIPIO, el derecho humano al acceso a la información pública es un derecho internacional que todo ciudadano debe tener, precisamente para que ya no existan cajas negras donde unos cuantos se hacen ricos a costa de dejar desamparado un recinto universitario, sino ahí está el claro ejemplo de la UAEM Texcoco, ¿</w:t>
      </w:r>
      <w:r w:rsidRPr="006E5108">
        <w:rPr>
          <w:rFonts w:ascii="Palatino Linotype" w:hAnsi="Palatino Linotype"/>
          <w:b/>
          <w:i/>
          <w:color w:val="000000"/>
          <w:sz w:val="24"/>
          <w:szCs w:val="24"/>
          <w:u w:val="single"/>
          <w:lang w:val="es-ES"/>
        </w:rPr>
        <w:t>porque no interviene la contraloría interna de la UAEM</w:t>
      </w:r>
      <w:r w:rsidRPr="006E5108">
        <w:rPr>
          <w:rFonts w:ascii="Palatino Linotype" w:hAnsi="Palatino Linotype"/>
          <w:i/>
          <w:color w:val="000000"/>
          <w:sz w:val="24"/>
          <w:szCs w:val="24"/>
          <w:lang w:val="es-ES"/>
        </w:rPr>
        <w:t xml:space="preserve">?, es obvio, peca tanto el que mata a la vaca como el que le agarra la pata. Director Colín, Verónica Conde y demás servidores públicos (a </w:t>
      </w:r>
      <w:r w:rsidRPr="006E5108">
        <w:rPr>
          <w:rFonts w:ascii="Palatino Linotype" w:hAnsi="Palatino Linotype"/>
          <w:i/>
          <w:color w:val="000000"/>
          <w:sz w:val="24"/>
          <w:szCs w:val="24"/>
          <w:lang w:val="es-ES"/>
        </w:rPr>
        <w:lastRenderedPageBreak/>
        <w:t>parte de ser académicos mediocres no olviden que al final del día son servidores públicos) le han pegado al avispero, dudo mucho que la colegiatura de los alumnos sirva para algo, bueno si, para sus bolsillos. Esto apenas comienza, ya paso con la UAEM de Morelos y mejor el rector se les fue a esconder, vamos con el rector de la UAEM Estado de México, no vaya a ser que también se nos vaya a pelar y no lo encontremos y pues colín agárrate por que ya no vas a tener sombra.” (sic)</w:t>
      </w:r>
    </w:p>
    <w:p w:rsidR="005755EF" w:rsidRPr="006E5108" w:rsidRDefault="005755EF" w:rsidP="005755EF">
      <w:pPr>
        <w:autoSpaceDE w:val="0"/>
        <w:autoSpaceDN w:val="0"/>
        <w:adjustRightInd w:val="0"/>
        <w:ind w:left="851" w:right="900"/>
        <w:jc w:val="both"/>
        <w:rPr>
          <w:rFonts w:ascii="Palatino Linotype" w:hAnsi="Palatino Linotype"/>
          <w:i/>
          <w:color w:val="000000"/>
          <w:sz w:val="24"/>
          <w:szCs w:val="24"/>
          <w:lang w:val="es-ES"/>
        </w:rPr>
      </w:pPr>
    </w:p>
    <w:p w:rsidR="00AE7D98" w:rsidRPr="006E5108" w:rsidRDefault="00AE7D98" w:rsidP="005755EF">
      <w:pPr>
        <w:pStyle w:val="Prrafodelista"/>
        <w:numPr>
          <w:ilvl w:val="0"/>
          <w:numId w:val="27"/>
        </w:numPr>
        <w:spacing w:before="240" w:after="240" w:line="360" w:lineRule="auto"/>
        <w:ind w:left="0" w:right="51" w:firstLine="0"/>
        <w:jc w:val="both"/>
        <w:rPr>
          <w:rFonts w:ascii="Palatino Linotype" w:eastAsia="Calibri" w:hAnsi="Palatino Linotype" w:cs="Arial"/>
          <w:sz w:val="24"/>
          <w:szCs w:val="24"/>
        </w:rPr>
      </w:pPr>
      <w:r w:rsidRPr="006E5108">
        <w:rPr>
          <w:rFonts w:ascii="Palatino Linotype" w:eastAsia="Calibri" w:hAnsi="Palatino Linotype" w:cs="Arial"/>
          <w:sz w:val="24"/>
          <w:szCs w:val="24"/>
        </w:rPr>
        <w:t xml:space="preserve">Bajo esas consideraciones la Ponencia que resuelve el recurso de revisión </w:t>
      </w:r>
      <w:r w:rsidR="005755EF" w:rsidRPr="006E5108">
        <w:rPr>
          <w:rFonts w:ascii="Palatino Linotype" w:eastAsia="Calibri" w:hAnsi="Palatino Linotype" w:cs="Arial"/>
          <w:sz w:val="24"/>
          <w:szCs w:val="24"/>
        </w:rPr>
        <w:t xml:space="preserve">aun y cuando el sujeto obligado asume que genera, administra y/o posee la </w:t>
      </w:r>
      <w:r w:rsidR="00EB223E" w:rsidRPr="006E5108">
        <w:rPr>
          <w:rFonts w:ascii="Palatino Linotype" w:eastAsia="Calibri" w:hAnsi="Palatino Linotype" w:cs="Arial"/>
          <w:sz w:val="24"/>
          <w:szCs w:val="24"/>
        </w:rPr>
        <w:t xml:space="preserve">información, </w:t>
      </w:r>
      <w:r w:rsidR="005755EF" w:rsidRPr="006E5108">
        <w:rPr>
          <w:rFonts w:ascii="Palatino Linotype" w:eastAsia="Calibri" w:hAnsi="Palatino Linotype" w:cs="Arial"/>
          <w:sz w:val="24"/>
          <w:szCs w:val="24"/>
        </w:rPr>
        <w:t xml:space="preserve">  </w:t>
      </w:r>
      <w:r w:rsidRPr="006E5108">
        <w:rPr>
          <w:rFonts w:ascii="Palatino Linotype" w:eastAsia="Calibri" w:hAnsi="Palatino Linotype" w:cs="Arial"/>
          <w:sz w:val="24"/>
          <w:szCs w:val="24"/>
        </w:rPr>
        <w:t>para no realizar una afectación al derecho de acceso a</w:t>
      </w:r>
      <w:r w:rsidR="005755EF" w:rsidRPr="006E5108">
        <w:rPr>
          <w:rFonts w:ascii="Palatino Linotype" w:eastAsia="Calibri" w:hAnsi="Palatino Linotype" w:cs="Arial"/>
          <w:sz w:val="24"/>
          <w:szCs w:val="24"/>
        </w:rPr>
        <w:t xml:space="preserve"> la información del particular  </w:t>
      </w:r>
      <w:r w:rsidRPr="006E5108">
        <w:rPr>
          <w:rFonts w:ascii="Palatino Linotype" w:eastAsia="Calibri" w:hAnsi="Palatino Linotype" w:cs="Arial"/>
          <w:sz w:val="24"/>
          <w:szCs w:val="24"/>
        </w:rPr>
        <w:t>decidió por cuenta propia entrar al estudio y análisis del asunto a efecto de verificar</w:t>
      </w:r>
      <w:r w:rsidR="00EB223E" w:rsidRPr="006E5108">
        <w:rPr>
          <w:rFonts w:ascii="Palatino Linotype" w:eastAsia="Calibri" w:hAnsi="Palatino Linotype" w:cs="Arial"/>
          <w:sz w:val="24"/>
          <w:szCs w:val="24"/>
        </w:rPr>
        <w:t xml:space="preserve"> que se la información entregada colmara en su totalidad el derecho ejercido.   </w:t>
      </w:r>
    </w:p>
    <w:p w:rsidR="003F3341" w:rsidRPr="006E5108" w:rsidRDefault="003F3341" w:rsidP="008C01BB">
      <w:pPr>
        <w:numPr>
          <w:ilvl w:val="0"/>
          <w:numId w:val="27"/>
        </w:numPr>
        <w:spacing w:after="0" w:line="360" w:lineRule="auto"/>
        <w:ind w:left="0" w:firstLine="0"/>
        <w:contextualSpacing/>
        <w:jc w:val="both"/>
        <w:rPr>
          <w:rFonts w:ascii="Palatino Linotype" w:eastAsia="Calibri" w:hAnsi="Palatino Linotype" w:cs="Arial"/>
          <w:sz w:val="24"/>
          <w:szCs w:val="24"/>
        </w:rPr>
      </w:pPr>
      <w:r w:rsidRPr="006E5108">
        <w:rPr>
          <w:rFonts w:ascii="Palatino Linotype" w:eastAsia="Calibri" w:hAnsi="Palatino Linotype" w:cs="Arial"/>
          <w:sz w:val="24"/>
          <w:szCs w:val="24"/>
        </w:rPr>
        <w:t xml:space="preserve">Por lo que respecta al análisis que realizó el ponente para poder Modificar el presente asunto </w:t>
      </w:r>
      <w:r w:rsidRPr="006E5108">
        <w:rPr>
          <w:rFonts w:ascii="Palatino Linotype" w:hAnsi="Palatino Linotype" w:cs="Arial"/>
          <w:sz w:val="24"/>
          <w:szCs w:val="24"/>
        </w:rPr>
        <w:t xml:space="preserve">se observó que el </w:t>
      </w:r>
      <w:r w:rsidRPr="006E5108">
        <w:rPr>
          <w:rFonts w:ascii="Palatino Linotype" w:hAnsi="Palatino Linotype" w:cs="Arial"/>
          <w:b/>
          <w:sz w:val="24"/>
          <w:szCs w:val="24"/>
        </w:rPr>
        <w:t xml:space="preserve">SUJETO OBLIGADO </w:t>
      </w:r>
      <w:r w:rsidRPr="006E5108">
        <w:rPr>
          <w:rFonts w:ascii="Palatino Linotype" w:hAnsi="Palatino Linotype" w:cs="Arial"/>
          <w:sz w:val="24"/>
          <w:szCs w:val="24"/>
        </w:rPr>
        <w:t>no colmó la solicitud de información por parte del solicitante, por lo que se</w:t>
      </w:r>
      <w:r w:rsidRPr="006E5108">
        <w:rPr>
          <w:rFonts w:ascii="Palatino Linotype" w:hAnsi="Palatino Linotype" w:cs="Arial"/>
          <w:b/>
          <w:sz w:val="24"/>
          <w:szCs w:val="24"/>
        </w:rPr>
        <w:t xml:space="preserve"> ORDENA</w:t>
      </w:r>
      <w:r w:rsidR="00EB223E" w:rsidRPr="006E5108">
        <w:rPr>
          <w:rFonts w:ascii="Palatino Linotype" w:hAnsi="Palatino Linotype" w:cs="Arial"/>
          <w:sz w:val="24"/>
          <w:szCs w:val="24"/>
        </w:rPr>
        <w:t xml:space="preserve"> a la </w:t>
      </w:r>
      <w:r w:rsidR="00EB223E" w:rsidRPr="006E5108">
        <w:rPr>
          <w:rFonts w:ascii="Palatino Linotype" w:hAnsi="Palatino Linotype" w:cs="Arial"/>
          <w:b/>
          <w:sz w:val="24"/>
          <w:szCs w:val="24"/>
        </w:rPr>
        <w:t xml:space="preserve"> Universidad Autónoma del Estado de México </w:t>
      </w:r>
      <w:r w:rsidRPr="006E5108">
        <w:rPr>
          <w:rFonts w:ascii="Palatino Linotype" w:hAnsi="Palatino Linotype" w:cs="Arial"/>
          <w:sz w:val="24"/>
          <w:szCs w:val="24"/>
        </w:rPr>
        <w:t xml:space="preserve">haga entrega vía </w:t>
      </w:r>
      <w:r w:rsidRPr="006E5108">
        <w:rPr>
          <w:rFonts w:ascii="Palatino Linotype" w:hAnsi="Palatino Linotype" w:cs="Arial"/>
          <w:b/>
          <w:sz w:val="24"/>
          <w:szCs w:val="24"/>
        </w:rPr>
        <w:t xml:space="preserve">SAIMEX </w:t>
      </w:r>
      <w:r w:rsidRPr="006E5108">
        <w:rPr>
          <w:rFonts w:ascii="Palatino Linotype" w:hAnsi="Palatino Linotype" w:cs="Arial"/>
          <w:sz w:val="24"/>
          <w:szCs w:val="24"/>
        </w:rPr>
        <w:t>de</w:t>
      </w:r>
      <w:r w:rsidRPr="006E5108">
        <w:rPr>
          <w:rFonts w:ascii="Palatino Linotype" w:hAnsi="Palatino Linotype" w:cs="Arial"/>
          <w:b/>
          <w:sz w:val="24"/>
          <w:szCs w:val="24"/>
        </w:rPr>
        <w:t>:</w:t>
      </w:r>
    </w:p>
    <w:p w:rsidR="00EB223E" w:rsidRPr="006E5108" w:rsidRDefault="00EB223E" w:rsidP="00EB223E">
      <w:pPr>
        <w:spacing w:after="0" w:line="360" w:lineRule="auto"/>
        <w:contextualSpacing/>
        <w:jc w:val="both"/>
        <w:rPr>
          <w:rFonts w:ascii="Palatino Linotype" w:eastAsia="Calibri" w:hAnsi="Palatino Linotype" w:cs="Arial"/>
          <w:sz w:val="24"/>
          <w:szCs w:val="24"/>
        </w:rPr>
      </w:pPr>
    </w:p>
    <w:p w:rsidR="00EB223E" w:rsidRPr="00EB223E" w:rsidRDefault="00EB223E" w:rsidP="00EB223E">
      <w:pPr>
        <w:numPr>
          <w:ilvl w:val="0"/>
          <w:numId w:val="34"/>
        </w:numPr>
        <w:spacing w:after="0" w:line="360" w:lineRule="auto"/>
        <w:jc w:val="both"/>
        <w:rPr>
          <w:rFonts w:ascii="Palatino Linotype" w:eastAsia="Times New Roman" w:hAnsi="Palatino Linotype" w:cs="Times New Roman"/>
          <w:i/>
          <w:sz w:val="24"/>
          <w:szCs w:val="24"/>
        </w:rPr>
      </w:pPr>
      <w:r w:rsidRPr="00EB223E">
        <w:rPr>
          <w:rFonts w:ascii="Palatino Linotype" w:eastAsia="Times New Roman" w:hAnsi="Palatino Linotype" w:cs="Times New Roman"/>
          <w:i/>
          <w:sz w:val="24"/>
          <w:szCs w:val="24"/>
        </w:rPr>
        <w:t xml:space="preserve">El documento o documentos donde consten el fundamento legal de procedencia del procedimiento de adjudicación directa, para la realización de la obra denominada “Reestructuración del Edifico C del Centro Universitario UAEM Texcoco, afectado por hundimientos (Primera Etapa) materia del contrato número UAEM/PAD/001/AD/2017. </w:t>
      </w:r>
    </w:p>
    <w:p w:rsidR="00EB223E" w:rsidRPr="006E5108" w:rsidRDefault="00EB223E" w:rsidP="00EB223E">
      <w:pPr>
        <w:numPr>
          <w:ilvl w:val="0"/>
          <w:numId w:val="34"/>
        </w:numPr>
        <w:spacing w:before="240" w:after="240" w:line="360" w:lineRule="auto"/>
        <w:jc w:val="both"/>
        <w:rPr>
          <w:rFonts w:ascii="Palatino Linotype" w:eastAsia="Times New Roman" w:hAnsi="Palatino Linotype" w:cs="Arial"/>
          <w:i/>
          <w:sz w:val="24"/>
          <w:szCs w:val="24"/>
        </w:rPr>
      </w:pPr>
      <w:r w:rsidRPr="00EB223E">
        <w:rPr>
          <w:rFonts w:ascii="Palatino Linotype" w:eastAsia="Times New Roman" w:hAnsi="Palatino Linotype" w:cs="Arial"/>
          <w:i/>
          <w:sz w:val="24"/>
          <w:szCs w:val="24"/>
        </w:rPr>
        <w:lastRenderedPageBreak/>
        <w:t>Catálogo de Conceptos contenido en el anexo II de cada uno de los contratos enviados por el Sujeto Obligado para dar respuesta a la solicitud de</w:t>
      </w:r>
      <w:r w:rsidRPr="006E5108">
        <w:rPr>
          <w:rFonts w:ascii="Palatino Linotype" w:eastAsia="Times New Roman" w:hAnsi="Palatino Linotype" w:cs="Arial"/>
          <w:i/>
          <w:sz w:val="24"/>
          <w:szCs w:val="24"/>
        </w:rPr>
        <w:t xml:space="preserve"> información 00211/UAEM/IP/201</w:t>
      </w:r>
    </w:p>
    <w:p w:rsidR="00EB223E" w:rsidRPr="006E5108" w:rsidRDefault="00EB223E" w:rsidP="00EB223E">
      <w:pPr>
        <w:spacing w:before="240" w:after="240" w:line="360" w:lineRule="auto"/>
        <w:ind w:left="720"/>
        <w:jc w:val="both"/>
        <w:rPr>
          <w:rFonts w:ascii="Palatino Linotype" w:eastAsia="Times New Roman" w:hAnsi="Palatino Linotype" w:cs="Arial"/>
          <w:i/>
          <w:sz w:val="24"/>
          <w:szCs w:val="24"/>
        </w:rPr>
      </w:pPr>
    </w:p>
    <w:p w:rsidR="003F3341" w:rsidRPr="006E5108" w:rsidRDefault="00151340" w:rsidP="00EB223E">
      <w:pPr>
        <w:numPr>
          <w:ilvl w:val="0"/>
          <w:numId w:val="27"/>
        </w:numPr>
        <w:spacing w:before="240" w:after="240" w:line="360" w:lineRule="auto"/>
        <w:ind w:left="0" w:right="333" w:firstLine="0"/>
        <w:contextualSpacing/>
        <w:jc w:val="both"/>
        <w:rPr>
          <w:rFonts w:ascii="Palatino Linotype" w:eastAsia="Times New Roman" w:hAnsi="Palatino Linotype" w:cs="Arial"/>
          <w:sz w:val="24"/>
          <w:szCs w:val="24"/>
        </w:rPr>
      </w:pPr>
      <w:r w:rsidRPr="006E5108">
        <w:rPr>
          <w:rFonts w:ascii="Palatino Linotype" w:eastAsia="Times New Roman" w:hAnsi="Palatino Linotype" w:cs="Arial"/>
          <w:sz w:val="24"/>
          <w:szCs w:val="24"/>
        </w:rPr>
        <w:t>Sin embargo esta ponencia observó que</w:t>
      </w:r>
      <w:r w:rsidR="00EB223E" w:rsidRPr="006E5108">
        <w:rPr>
          <w:rFonts w:ascii="Palatino Linotype" w:eastAsia="Times New Roman" w:hAnsi="Palatino Linotype" w:cs="Arial"/>
          <w:sz w:val="24"/>
          <w:szCs w:val="24"/>
        </w:rPr>
        <w:t xml:space="preserve"> dentro de la solicitud realizada se manifiestan posibles actos de corrupción, y siendo que este instituto no tiene facultades para investigar o sancionar dichos actos, tiene la posibilidad de facilitar su investigación a través del derecho humano de acceso a la información </w:t>
      </w:r>
      <w:r w:rsidR="00CB796B" w:rsidRPr="006E5108">
        <w:rPr>
          <w:rFonts w:ascii="Palatino Linotype" w:eastAsia="Times New Roman" w:hAnsi="Palatino Linotype" w:cs="Arial"/>
          <w:sz w:val="24"/>
          <w:szCs w:val="24"/>
        </w:rPr>
        <w:t>pública</w:t>
      </w:r>
      <w:r w:rsidR="00EB223E" w:rsidRPr="006E5108">
        <w:rPr>
          <w:rFonts w:ascii="Palatino Linotype" w:eastAsia="Times New Roman" w:hAnsi="Palatino Linotype" w:cs="Arial"/>
          <w:sz w:val="24"/>
          <w:szCs w:val="24"/>
        </w:rPr>
        <w:t xml:space="preserve">.  </w:t>
      </w:r>
    </w:p>
    <w:p w:rsidR="00EB223E" w:rsidRPr="006E5108" w:rsidRDefault="00EB223E" w:rsidP="00EB223E">
      <w:pPr>
        <w:spacing w:before="240" w:after="240" w:line="360" w:lineRule="auto"/>
        <w:ind w:right="333"/>
        <w:contextualSpacing/>
        <w:jc w:val="both"/>
        <w:rPr>
          <w:rFonts w:ascii="Palatino Linotype" w:eastAsia="Times New Roman" w:hAnsi="Palatino Linotype" w:cs="Arial"/>
          <w:sz w:val="24"/>
          <w:szCs w:val="24"/>
        </w:rPr>
      </w:pPr>
    </w:p>
    <w:p w:rsidR="003F3341" w:rsidRPr="006E5108" w:rsidRDefault="006E5108" w:rsidP="008C01BB">
      <w:pPr>
        <w:keepNext/>
        <w:keepLines/>
        <w:spacing w:before="40" w:after="0" w:line="360" w:lineRule="auto"/>
        <w:outlineLvl w:val="1"/>
        <w:rPr>
          <w:rFonts w:ascii="Palatino Linotype" w:eastAsiaTheme="majorEastAsia" w:hAnsi="Palatino Linotype" w:cstheme="majorBidi"/>
          <w:b/>
          <w:color w:val="000000" w:themeColor="text1"/>
          <w:sz w:val="24"/>
          <w:szCs w:val="24"/>
        </w:rPr>
      </w:pPr>
      <w:bookmarkStart w:id="3" w:name="_Toc469919070"/>
      <w:bookmarkStart w:id="4" w:name="_Toc524960004"/>
      <w:r>
        <w:rPr>
          <w:rFonts w:ascii="Palatino Linotype" w:eastAsiaTheme="majorEastAsia" w:hAnsi="Palatino Linotype" w:cstheme="majorBidi"/>
          <w:b/>
          <w:color w:val="000000" w:themeColor="text1"/>
          <w:sz w:val="24"/>
          <w:szCs w:val="24"/>
        </w:rPr>
        <w:t>III. D</w:t>
      </w:r>
      <w:r w:rsidR="003F3341" w:rsidRPr="006E5108">
        <w:rPr>
          <w:rFonts w:ascii="Palatino Linotype" w:eastAsiaTheme="majorEastAsia" w:hAnsi="Palatino Linotype" w:cstheme="majorBidi"/>
          <w:b/>
          <w:color w:val="000000" w:themeColor="text1"/>
          <w:sz w:val="24"/>
          <w:szCs w:val="24"/>
        </w:rPr>
        <w:t xml:space="preserve">el Derecho de </w:t>
      </w:r>
      <w:r>
        <w:rPr>
          <w:rFonts w:ascii="Palatino Linotype" w:eastAsiaTheme="majorEastAsia" w:hAnsi="Palatino Linotype" w:cstheme="majorBidi"/>
          <w:b/>
          <w:color w:val="000000" w:themeColor="text1"/>
          <w:sz w:val="24"/>
          <w:szCs w:val="24"/>
        </w:rPr>
        <w:t>a</w:t>
      </w:r>
      <w:r w:rsidR="003F3341" w:rsidRPr="006E5108">
        <w:rPr>
          <w:rFonts w:ascii="Palatino Linotype" w:eastAsiaTheme="majorEastAsia" w:hAnsi="Palatino Linotype" w:cstheme="majorBidi"/>
          <w:b/>
          <w:color w:val="000000" w:themeColor="text1"/>
          <w:sz w:val="24"/>
          <w:szCs w:val="24"/>
        </w:rPr>
        <w:t xml:space="preserve">cceso a la información pública </w:t>
      </w:r>
      <w:bookmarkEnd w:id="3"/>
      <w:r>
        <w:rPr>
          <w:rFonts w:ascii="Palatino Linotype" w:eastAsiaTheme="majorEastAsia" w:hAnsi="Palatino Linotype" w:cstheme="majorBidi"/>
          <w:b/>
          <w:color w:val="000000" w:themeColor="text1"/>
          <w:sz w:val="24"/>
          <w:szCs w:val="24"/>
        </w:rPr>
        <w:t>como forma de rendición de cuentas.</w:t>
      </w:r>
      <w:bookmarkEnd w:id="4"/>
      <w:r>
        <w:rPr>
          <w:rFonts w:ascii="Palatino Linotype" w:eastAsiaTheme="majorEastAsia" w:hAnsi="Palatino Linotype" w:cstheme="majorBidi"/>
          <w:b/>
          <w:color w:val="000000" w:themeColor="text1"/>
          <w:sz w:val="24"/>
          <w:szCs w:val="24"/>
        </w:rPr>
        <w:t xml:space="preserve"> </w:t>
      </w:r>
    </w:p>
    <w:p w:rsidR="003F3341" w:rsidRPr="006E5108" w:rsidRDefault="003F3341" w:rsidP="008C01BB">
      <w:pPr>
        <w:spacing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after="0" w:line="360" w:lineRule="auto"/>
        <w:ind w:left="0" w:firstLine="0"/>
        <w:contextualSpacing/>
        <w:jc w:val="both"/>
        <w:rPr>
          <w:rFonts w:ascii="Palatino Linotype" w:hAnsi="Palatino Linotype" w:cs="Arial"/>
          <w:sz w:val="24"/>
          <w:szCs w:val="24"/>
        </w:rPr>
      </w:pPr>
      <w:r w:rsidRPr="006E5108">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6E5108">
        <w:rPr>
          <w:rFonts w:ascii="Palatino Linotype" w:eastAsia="Times New Roman" w:hAnsi="Palatino Linotype" w:cs="Arial"/>
          <w:b/>
          <w:sz w:val="24"/>
          <w:szCs w:val="24"/>
        </w:rPr>
        <w:t>Constitución Política de los Estados Unidos Mexicanos</w:t>
      </w:r>
      <w:r w:rsidRPr="006E5108">
        <w:rPr>
          <w:rFonts w:ascii="Palatino Linotype" w:eastAsia="Times New Roman" w:hAnsi="Palatino Linotype" w:cs="Arial"/>
          <w:sz w:val="24"/>
          <w:szCs w:val="24"/>
        </w:rPr>
        <w:t xml:space="preserve">, 13 párrafos 1 y 2 del </w:t>
      </w:r>
      <w:r w:rsidRPr="006E5108">
        <w:rPr>
          <w:rFonts w:ascii="Palatino Linotype" w:eastAsia="Times New Roman" w:hAnsi="Palatino Linotype" w:cs="Arial"/>
          <w:b/>
          <w:sz w:val="24"/>
          <w:szCs w:val="24"/>
        </w:rPr>
        <w:t>Pacto de San José de Costa Rica</w:t>
      </w:r>
      <w:r w:rsidRPr="006E5108">
        <w:rPr>
          <w:rFonts w:ascii="Palatino Linotype" w:eastAsia="Times New Roman" w:hAnsi="Palatino Linotype" w:cs="Arial"/>
          <w:sz w:val="24"/>
          <w:szCs w:val="24"/>
        </w:rPr>
        <w:t xml:space="preserve">, </w:t>
      </w:r>
      <w:r w:rsidRPr="006E5108">
        <w:rPr>
          <w:rFonts w:ascii="Palatino Linotype" w:hAnsi="Palatino Linotype" w:cs="Arial"/>
          <w:sz w:val="24"/>
          <w:szCs w:val="24"/>
        </w:rPr>
        <w:t xml:space="preserve">11, 12, 13 de la </w:t>
      </w:r>
      <w:r w:rsidRPr="006E5108">
        <w:rPr>
          <w:rFonts w:ascii="Palatino Linotype" w:hAnsi="Palatino Linotype"/>
          <w:b/>
          <w:sz w:val="24"/>
          <w:szCs w:val="24"/>
        </w:rPr>
        <w:t>Ley General de Transparencia y Acceso a la Información Pública</w:t>
      </w:r>
      <w:r w:rsidRPr="006E5108">
        <w:rPr>
          <w:rFonts w:ascii="Palatino Linotype" w:eastAsia="Times New Roman" w:hAnsi="Palatino Linotype" w:cs="Arial"/>
          <w:sz w:val="24"/>
          <w:szCs w:val="24"/>
        </w:rPr>
        <w:t xml:space="preserve"> y 5 de la </w:t>
      </w:r>
      <w:r w:rsidRPr="006E5108">
        <w:rPr>
          <w:rFonts w:ascii="Palatino Linotype" w:eastAsia="Times New Roman" w:hAnsi="Palatino Linotype" w:cs="Arial"/>
          <w:b/>
          <w:sz w:val="24"/>
          <w:szCs w:val="24"/>
        </w:rPr>
        <w:t>Constitución Política del Estado Libre y Soberano de México</w:t>
      </w:r>
      <w:r w:rsidRPr="006E5108">
        <w:rPr>
          <w:rFonts w:ascii="Palatino Linotype" w:eastAsia="Times New Roman" w:hAnsi="Palatino Linotype" w:cs="Arial"/>
          <w:sz w:val="24"/>
          <w:szCs w:val="24"/>
        </w:rPr>
        <w:t>; y</w:t>
      </w:r>
      <w:r w:rsidRPr="006E5108">
        <w:rPr>
          <w:rFonts w:ascii="Palatino Linotype" w:eastAsia="Times New Roman" w:hAnsi="Palatino Linotype" w:cs="Arial"/>
          <w:b/>
          <w:sz w:val="24"/>
          <w:szCs w:val="24"/>
        </w:rPr>
        <w:t xml:space="preserve">, </w:t>
      </w:r>
      <w:r w:rsidRPr="006E5108">
        <w:rPr>
          <w:rFonts w:ascii="Palatino Linotype" w:eastAsia="Times New Roman" w:hAnsi="Palatino Linotype" w:cs="Arial"/>
          <w:sz w:val="24"/>
          <w:szCs w:val="24"/>
        </w:rPr>
        <w:t xml:space="preserve">razón por la cual todos los órganos del </w:t>
      </w:r>
      <w:r w:rsidRPr="006E5108">
        <w:rPr>
          <w:rFonts w:ascii="Palatino Linotype" w:eastAsia="Times New Roman" w:hAnsi="Palatino Linotype" w:cs="Arial"/>
          <w:b/>
          <w:sz w:val="24"/>
          <w:szCs w:val="24"/>
        </w:rPr>
        <w:t>Estado</w:t>
      </w:r>
      <w:r w:rsidRPr="006E5108">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3F3341" w:rsidRPr="006E5108" w:rsidRDefault="003F3341" w:rsidP="008C01BB">
      <w:pPr>
        <w:spacing w:after="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cs="Arial"/>
          <w:bCs/>
          <w:color w:val="000000" w:themeColor="text1"/>
          <w:sz w:val="24"/>
          <w:szCs w:val="24"/>
        </w:rPr>
        <w:t>En efecto, el derecho fundamental de acceso a la información pública se desarrolla en varias vertientes:</w:t>
      </w:r>
    </w:p>
    <w:p w:rsidR="003F3341" w:rsidRPr="006E5108" w:rsidRDefault="003F3341" w:rsidP="008C01BB">
      <w:pPr>
        <w:spacing w:before="240" w:after="240" w:line="360" w:lineRule="auto"/>
        <w:ind w:left="851"/>
        <w:contextualSpacing/>
        <w:jc w:val="both"/>
        <w:rPr>
          <w:rFonts w:ascii="Palatino Linotype" w:hAnsi="Palatino Linotype" w:cs="Arial"/>
          <w:sz w:val="24"/>
          <w:szCs w:val="24"/>
        </w:rPr>
      </w:pP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EB223E" w:rsidRPr="006E5108" w:rsidRDefault="00EB223E" w:rsidP="00EB223E">
      <w:p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EB223E" w:rsidRPr="006E5108" w:rsidRDefault="00EB223E" w:rsidP="00EB223E">
      <w:p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EB223E" w:rsidRPr="006E5108" w:rsidRDefault="00EB223E" w:rsidP="00EB223E">
      <w:pPr>
        <w:autoSpaceDE w:val="0"/>
        <w:autoSpaceDN w:val="0"/>
        <w:adjustRightInd w:val="0"/>
        <w:spacing w:before="240" w:after="240" w:line="360" w:lineRule="auto"/>
        <w:ind w:right="616"/>
        <w:contextualSpacing/>
        <w:jc w:val="both"/>
        <w:rPr>
          <w:rFonts w:ascii="Palatino Linotype" w:hAnsi="Palatino Linotype" w:cs="Arial"/>
          <w:bCs/>
          <w:color w:val="000000" w:themeColor="text1"/>
          <w:sz w:val="24"/>
          <w:szCs w:val="24"/>
        </w:rPr>
      </w:pP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6E5108">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Impone el</w:t>
      </w:r>
      <w:r w:rsidRPr="006E5108">
        <w:rPr>
          <w:rFonts w:ascii="Palatino Linotype" w:hAnsi="Palatino Linotype"/>
          <w:bCs/>
          <w:color w:val="000000" w:themeColor="text1"/>
          <w:sz w:val="24"/>
          <w:szCs w:val="24"/>
        </w:rPr>
        <w:t xml:space="preserve"> </w:t>
      </w:r>
      <w:hyperlink r:id="rId8" w:tooltip="Derechos civiles y políticos" w:history="1">
        <w:r w:rsidRPr="006E5108">
          <w:rPr>
            <w:rFonts w:ascii="Palatino Linotype" w:hAnsi="Palatino Linotype"/>
            <w:bCs/>
            <w:color w:val="000000" w:themeColor="text1"/>
            <w:sz w:val="24"/>
            <w:szCs w:val="24"/>
          </w:rPr>
          <w:t>derecho</w:t>
        </w:r>
      </w:hyperlink>
      <w:r w:rsidRPr="006E5108">
        <w:rPr>
          <w:rFonts w:ascii="Palatino Linotype" w:hAnsi="Palatino Linotype"/>
          <w:bCs/>
          <w:color w:val="000000" w:themeColor="text1"/>
          <w:sz w:val="24"/>
          <w:szCs w:val="24"/>
        </w:rPr>
        <w:t xml:space="preserve"> </w:t>
      </w:r>
      <w:r w:rsidRPr="006E5108">
        <w:rPr>
          <w:rFonts w:ascii="Palatino Linotype" w:hAnsi="Palatino Linotype" w:cs="Arial"/>
          <w:bCs/>
          <w:color w:val="000000" w:themeColor="text1"/>
          <w:sz w:val="24"/>
          <w:szCs w:val="24"/>
        </w:rPr>
        <w:t xml:space="preserve">de una persona de buscar, </w:t>
      </w:r>
      <w:r w:rsidRPr="006E5108">
        <w:rPr>
          <w:rFonts w:ascii="Palatino Linotype" w:hAnsi="Palatino Linotype" w:cs="Arial"/>
          <w:b/>
          <w:bCs/>
          <w:color w:val="000000" w:themeColor="text1"/>
          <w:sz w:val="24"/>
          <w:szCs w:val="24"/>
          <w:u w:val="single"/>
        </w:rPr>
        <w:t xml:space="preserve">recibir </w:t>
      </w:r>
      <w:r w:rsidRPr="006E5108">
        <w:rPr>
          <w:rFonts w:ascii="Palatino Linotype" w:hAnsi="Palatino Linotype" w:cs="Arial"/>
          <w:bCs/>
          <w:color w:val="000000" w:themeColor="text1"/>
          <w:sz w:val="24"/>
          <w:szCs w:val="24"/>
        </w:rPr>
        <w:t>y difundir información en poder del gobierno u administraciones públicas.</w:t>
      </w:r>
    </w:p>
    <w:p w:rsidR="003F3341" w:rsidRPr="006E5108" w:rsidRDefault="003F3341" w:rsidP="008C01BB">
      <w:p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cs="Arial"/>
          <w:sz w:val="24"/>
          <w:szCs w:val="24"/>
        </w:rPr>
        <w:t xml:space="preserve">Por tanto, para que los </w:t>
      </w:r>
      <w:r w:rsidRPr="006E5108">
        <w:rPr>
          <w:rFonts w:ascii="Palatino Linotype" w:hAnsi="Palatino Linotype" w:cs="Arial"/>
          <w:b/>
          <w:sz w:val="24"/>
          <w:szCs w:val="24"/>
        </w:rPr>
        <w:t>SUJETOS OBLIGADOS</w:t>
      </w:r>
      <w:r w:rsidRPr="006E5108">
        <w:rPr>
          <w:rFonts w:ascii="Palatino Linotype" w:hAnsi="Palatino Linotype" w:cs="Arial"/>
          <w:sz w:val="24"/>
          <w:szCs w:val="24"/>
        </w:rPr>
        <w:t xml:space="preserve"> hagan efectivo el derecho de las personas de </w:t>
      </w:r>
      <w:r w:rsidRPr="006E5108">
        <w:rPr>
          <w:rFonts w:ascii="Palatino Linotype" w:hAnsi="Palatino Linotype" w:cs="Arial"/>
          <w:b/>
          <w:sz w:val="24"/>
          <w:szCs w:val="24"/>
        </w:rPr>
        <w:t>buscar, recibir y difundir información pública</w:t>
      </w:r>
      <w:r w:rsidRPr="006E5108">
        <w:rPr>
          <w:rFonts w:ascii="Palatino Linotype" w:hAnsi="Palatino Linotype" w:cs="Arial"/>
          <w:sz w:val="24"/>
          <w:szCs w:val="24"/>
        </w:rPr>
        <w:t xml:space="preserve">, información que los </w:t>
      </w:r>
      <w:r w:rsidRPr="006E5108">
        <w:rPr>
          <w:rFonts w:ascii="Palatino Linotype" w:hAnsi="Palatino Linotype" w:cs="Arial"/>
          <w:b/>
          <w:sz w:val="24"/>
          <w:szCs w:val="24"/>
        </w:rPr>
        <w:t>SUJETOS OBLIGADOS</w:t>
      </w:r>
      <w:r w:rsidRPr="006E5108">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w:t>
      </w:r>
      <w:r w:rsidR="00EB223E" w:rsidRPr="006E5108">
        <w:rPr>
          <w:rFonts w:ascii="Palatino Linotype" w:hAnsi="Palatino Linotype"/>
          <w:sz w:val="24"/>
          <w:szCs w:val="24"/>
        </w:rPr>
        <w:t>aso, castigar el abuso de poder u actos de corrupción.</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 xml:space="preserve">La Constitución Política de los Estados Unidos Mexicanos, adopta la </w:t>
      </w:r>
      <w:r w:rsidRPr="006E5108">
        <w:rPr>
          <w:rFonts w:ascii="Palatino Linotype" w:hAnsi="Palatino Linotype"/>
          <w:i/>
          <w:sz w:val="24"/>
          <w:szCs w:val="24"/>
        </w:rPr>
        <w:t>ratio decidendi</w:t>
      </w:r>
      <w:r w:rsidRPr="006E5108">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6E5108">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3F3341" w:rsidRPr="006E5108" w:rsidRDefault="003F3341" w:rsidP="008C01BB">
      <w:pPr>
        <w:spacing w:before="240" w:after="240" w:line="360" w:lineRule="auto"/>
        <w:contextualSpacing/>
        <w:jc w:val="both"/>
        <w:rPr>
          <w:rFonts w:ascii="Palatino Linotype" w:hAnsi="Palatino Linotype" w:cs="Arial"/>
          <w:sz w:val="24"/>
          <w:szCs w:val="24"/>
          <w:highlight w:val="lightGray"/>
        </w:rPr>
      </w:pPr>
    </w:p>
    <w:p w:rsidR="003F3341" w:rsidRPr="006E5108" w:rsidRDefault="003F3341" w:rsidP="004219D8">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3F3341" w:rsidRPr="006E5108" w:rsidRDefault="003F3341" w:rsidP="008C01BB">
      <w:pPr>
        <w:spacing w:after="0" w:line="360" w:lineRule="auto"/>
        <w:contextualSpacing/>
        <w:jc w:val="both"/>
        <w:rPr>
          <w:rFonts w:ascii="Palatino Linotype" w:eastAsia="Calibri" w:hAnsi="Palatino Linotype" w:cs="Arial"/>
          <w:sz w:val="24"/>
          <w:szCs w:val="24"/>
        </w:rPr>
      </w:pPr>
    </w:p>
    <w:p w:rsidR="00C257E7" w:rsidRPr="006E5108" w:rsidRDefault="004219D8" w:rsidP="00C257E7">
      <w:pPr>
        <w:numPr>
          <w:ilvl w:val="0"/>
          <w:numId w:val="27"/>
        </w:numPr>
        <w:spacing w:after="0" w:line="360" w:lineRule="auto"/>
        <w:ind w:left="0" w:firstLine="0"/>
        <w:contextualSpacing/>
        <w:jc w:val="both"/>
        <w:rPr>
          <w:rFonts w:ascii="Palatino Linotype" w:eastAsia="Calibri" w:hAnsi="Palatino Linotype" w:cs="Arial"/>
          <w:sz w:val="24"/>
          <w:szCs w:val="24"/>
          <w:lang w:val="es-ES_tradnl"/>
        </w:rPr>
      </w:pPr>
      <w:r w:rsidRPr="006E5108">
        <w:rPr>
          <w:rFonts w:ascii="Palatino Linotype" w:eastAsia="Calibri" w:hAnsi="Palatino Linotype" w:cs="Arial"/>
          <w:sz w:val="24"/>
          <w:szCs w:val="24"/>
        </w:rPr>
        <w:t xml:space="preserve">Así se puede apreciar que </w:t>
      </w:r>
      <w:r w:rsidR="003F3341" w:rsidRPr="006E5108">
        <w:rPr>
          <w:rFonts w:ascii="Palatino Linotype" w:eastAsia="Calibri" w:hAnsi="Palatino Linotype" w:cs="Arial"/>
          <w:sz w:val="24"/>
          <w:szCs w:val="24"/>
        </w:rPr>
        <w:t>el Sujeto Obligado</w:t>
      </w:r>
      <w:r w:rsidRPr="006E5108">
        <w:rPr>
          <w:rFonts w:ascii="Palatino Linotype" w:eastAsia="Calibri" w:hAnsi="Palatino Linotype" w:cs="Arial"/>
          <w:sz w:val="24"/>
          <w:szCs w:val="24"/>
        </w:rPr>
        <w:t xml:space="preserve">, a pesar de que se señala un posible acto de corrupción, no fue lo suficientemente diligente al dar respuesta a la solicitud de información, en efecto, como se ha señalado el derecho fundamental de acceso a la información pública trae consigo la participación de la sociedad en la vida pública, y con ello la rendición de cuentas, por lo que en todo momento es menester de los Sujetos Obligados, poner a disposición de la infracción de naturaleza pública, sin embargo, es los casos que se arguya un posible acto de corrupción, se debe de </w:t>
      </w:r>
      <w:r w:rsidRPr="006E5108">
        <w:rPr>
          <w:rFonts w:ascii="Palatino Linotype" w:eastAsia="Calibri" w:hAnsi="Palatino Linotype" w:cs="Arial"/>
          <w:sz w:val="24"/>
          <w:szCs w:val="24"/>
        </w:rPr>
        <w:lastRenderedPageBreak/>
        <w:t xml:space="preserve">realizar una búsqueda exhaustiva y expedita, tendiente en todo momento a portar la información que se solicita.      </w:t>
      </w:r>
    </w:p>
    <w:p w:rsidR="00C257E7" w:rsidRPr="006E5108" w:rsidRDefault="00C257E7" w:rsidP="00C257E7">
      <w:pPr>
        <w:pStyle w:val="Prrafodelista"/>
        <w:rPr>
          <w:rFonts w:ascii="Palatino Linotype" w:eastAsia="Calibri" w:hAnsi="Palatino Linotype" w:cs="Arial"/>
          <w:sz w:val="24"/>
          <w:szCs w:val="24"/>
          <w:lang w:val="es-ES_tradnl"/>
        </w:rPr>
      </w:pPr>
    </w:p>
    <w:p w:rsidR="00524ACC" w:rsidRPr="006E5108" w:rsidRDefault="003F3341" w:rsidP="00524ACC">
      <w:pPr>
        <w:numPr>
          <w:ilvl w:val="0"/>
          <w:numId w:val="27"/>
        </w:numPr>
        <w:spacing w:after="0" w:line="360" w:lineRule="auto"/>
        <w:ind w:left="0" w:firstLine="0"/>
        <w:contextualSpacing/>
        <w:jc w:val="both"/>
        <w:rPr>
          <w:rFonts w:ascii="Palatino Linotype" w:eastAsia="Calibri" w:hAnsi="Palatino Linotype" w:cs="Arial"/>
          <w:sz w:val="24"/>
          <w:szCs w:val="24"/>
          <w:lang w:val="es-ES_tradnl"/>
        </w:rPr>
      </w:pPr>
      <w:r w:rsidRPr="006E5108">
        <w:rPr>
          <w:rFonts w:ascii="Palatino Linotype" w:eastAsia="Calibri" w:hAnsi="Palatino Linotype" w:cs="Arial"/>
          <w:sz w:val="24"/>
          <w:szCs w:val="24"/>
          <w:lang w:val="es-ES_tradnl"/>
        </w:rPr>
        <w:t>En este context</w:t>
      </w:r>
      <w:r w:rsidR="00C257E7" w:rsidRPr="006E5108">
        <w:rPr>
          <w:rFonts w:ascii="Palatino Linotype" w:eastAsia="Calibri" w:hAnsi="Palatino Linotype" w:cs="Arial"/>
          <w:sz w:val="24"/>
          <w:szCs w:val="24"/>
          <w:lang w:val="es-ES_tradnl"/>
        </w:rPr>
        <w:t>o, las autoridades en ejercicio de sus funciones,</w:t>
      </w:r>
      <w:r w:rsidR="00524ACC" w:rsidRPr="006E5108">
        <w:rPr>
          <w:rFonts w:ascii="Palatino Linotype" w:hAnsi="Palatino Linotype"/>
          <w:sz w:val="24"/>
          <w:szCs w:val="24"/>
        </w:rPr>
        <w:t xml:space="preserve"> tienen el deber ineludible de promover </w:t>
      </w:r>
      <w:r w:rsidR="00524ACC" w:rsidRPr="006E5108">
        <w:rPr>
          <w:rFonts w:ascii="Palatino Linotype" w:eastAsia="Calibri" w:hAnsi="Palatino Linotype" w:cs="Arial"/>
          <w:sz w:val="24"/>
          <w:szCs w:val="24"/>
          <w:lang w:val="es-ES_tradnl"/>
        </w:rPr>
        <w:t xml:space="preserve">de conformidad con lo que establece la normatividad nacional </w:t>
      </w:r>
      <w:r w:rsidR="006E5108" w:rsidRPr="006E5108">
        <w:rPr>
          <w:rFonts w:ascii="Palatino Linotype" w:eastAsia="Calibri" w:hAnsi="Palatino Linotype" w:cs="Arial"/>
          <w:sz w:val="24"/>
          <w:szCs w:val="24"/>
          <w:lang w:val="es-ES_tradnl"/>
        </w:rPr>
        <w:t xml:space="preserve">e internacional, </w:t>
      </w:r>
      <w:r w:rsidR="00524ACC" w:rsidRPr="006E5108">
        <w:rPr>
          <w:rFonts w:ascii="Palatino Linotype" w:eastAsia="Calibri" w:hAnsi="Palatino Linotype" w:cs="Arial"/>
          <w:sz w:val="24"/>
          <w:szCs w:val="24"/>
          <w:lang w:val="es-ES_tradnl"/>
        </w:rPr>
        <w:t xml:space="preserve">el combate a la corrupción, </w:t>
      </w:r>
      <w:r w:rsidR="006E5108" w:rsidRPr="006E5108">
        <w:rPr>
          <w:rFonts w:ascii="Palatino Linotype" w:eastAsia="Calibri" w:hAnsi="Palatino Linotype" w:cs="Arial"/>
          <w:sz w:val="24"/>
          <w:szCs w:val="24"/>
          <w:lang w:val="es-ES_tradnl"/>
        </w:rPr>
        <w:t xml:space="preserve">por lo que con  la entrega de información incompleta, no solo transgrede el derecho fundamental de acceso a la información pública, sino que no se propicia la rendición de cuentas y el combate a la corrupción. </w:t>
      </w:r>
    </w:p>
    <w:p w:rsidR="003F3341" w:rsidRPr="006E5108" w:rsidRDefault="003F3341" w:rsidP="008C01BB">
      <w:pPr>
        <w:keepNext/>
        <w:keepLines/>
        <w:spacing w:before="240" w:after="0" w:line="360" w:lineRule="auto"/>
        <w:outlineLvl w:val="0"/>
        <w:rPr>
          <w:rFonts w:ascii="Palatino Linotype" w:eastAsia="Calibri" w:hAnsi="Palatino Linotype" w:cstheme="majorBidi"/>
          <w:b/>
          <w:color w:val="000000" w:themeColor="text1"/>
          <w:sz w:val="24"/>
          <w:szCs w:val="24"/>
        </w:rPr>
      </w:pPr>
      <w:bookmarkStart w:id="5" w:name="_Toc524960005"/>
      <w:r w:rsidRPr="006E5108">
        <w:rPr>
          <w:rFonts w:ascii="Palatino Linotype" w:eastAsia="Calibri" w:hAnsi="Palatino Linotype" w:cstheme="majorBidi"/>
          <w:b/>
          <w:sz w:val="24"/>
          <w:szCs w:val="24"/>
        </w:rPr>
        <w:t>V. Conclusión.</w:t>
      </w:r>
      <w:bookmarkEnd w:id="5"/>
    </w:p>
    <w:p w:rsidR="003F3341" w:rsidRPr="006E5108" w:rsidRDefault="003F3341" w:rsidP="008C01BB">
      <w:pPr>
        <w:spacing w:line="360" w:lineRule="auto"/>
        <w:contextualSpacing/>
        <w:rPr>
          <w:rFonts w:ascii="Palatino Linotype" w:eastAsia="Calibri" w:hAnsi="Palatino Linotype" w:cs="Arial"/>
          <w:sz w:val="24"/>
          <w:szCs w:val="24"/>
        </w:rPr>
      </w:pPr>
    </w:p>
    <w:p w:rsidR="003F3341" w:rsidRPr="006E5108" w:rsidRDefault="003F3341" w:rsidP="005049B4">
      <w:pPr>
        <w:numPr>
          <w:ilvl w:val="0"/>
          <w:numId w:val="27"/>
        </w:numPr>
        <w:spacing w:line="360" w:lineRule="auto"/>
        <w:ind w:left="0" w:firstLine="0"/>
        <w:contextualSpacing/>
        <w:jc w:val="both"/>
        <w:rPr>
          <w:rFonts w:ascii="Palatino Linotype" w:hAnsi="Palatino Linotype" w:cs="Arial"/>
          <w:color w:val="000000" w:themeColor="text1"/>
          <w:sz w:val="24"/>
          <w:szCs w:val="24"/>
        </w:rPr>
      </w:pPr>
      <w:r w:rsidRPr="006E5108">
        <w:rPr>
          <w:rFonts w:ascii="Palatino Linotype" w:eastAsia="Calibri" w:hAnsi="Palatino Linotype" w:cs="Arial"/>
          <w:sz w:val="24"/>
          <w:szCs w:val="24"/>
        </w:rPr>
        <w:t>Por lo mencionado anteriormente, considero que es de suma imp</w:t>
      </w:r>
      <w:r w:rsidR="00C257E7" w:rsidRPr="006E5108">
        <w:rPr>
          <w:rFonts w:ascii="Palatino Linotype" w:eastAsia="Calibri" w:hAnsi="Palatino Linotype" w:cs="Arial"/>
          <w:sz w:val="24"/>
          <w:szCs w:val="24"/>
        </w:rPr>
        <w:t>ortancia que en los casos que</w:t>
      </w:r>
      <w:r w:rsidR="00CB796B">
        <w:rPr>
          <w:rFonts w:ascii="Palatino Linotype" w:eastAsia="Calibri" w:hAnsi="Palatino Linotype" w:cs="Arial"/>
          <w:sz w:val="24"/>
          <w:szCs w:val="24"/>
        </w:rPr>
        <w:t xml:space="preserve"> se</w:t>
      </w:r>
      <w:r w:rsidR="00C257E7" w:rsidRPr="006E5108">
        <w:rPr>
          <w:rFonts w:ascii="Palatino Linotype" w:eastAsia="Calibri" w:hAnsi="Palatino Linotype" w:cs="Arial"/>
          <w:sz w:val="24"/>
          <w:szCs w:val="24"/>
        </w:rPr>
        <w:t xml:space="preserve"> manifiesten posibles actos de corrupción dentro de una solicitud de información los </w:t>
      </w:r>
      <w:r w:rsidRPr="006E5108">
        <w:rPr>
          <w:rFonts w:ascii="Palatino Linotype" w:eastAsia="Calibri" w:hAnsi="Palatino Linotype" w:cs="Arial"/>
          <w:sz w:val="24"/>
          <w:szCs w:val="24"/>
        </w:rPr>
        <w:t>Sujeto</w:t>
      </w:r>
      <w:r w:rsidR="00C257E7" w:rsidRPr="006E5108">
        <w:rPr>
          <w:rFonts w:ascii="Palatino Linotype" w:eastAsia="Calibri" w:hAnsi="Palatino Linotype" w:cs="Arial"/>
          <w:sz w:val="24"/>
          <w:szCs w:val="24"/>
        </w:rPr>
        <w:t>s</w:t>
      </w:r>
      <w:r w:rsidRPr="006E5108">
        <w:rPr>
          <w:rFonts w:ascii="Palatino Linotype" w:eastAsia="Calibri" w:hAnsi="Palatino Linotype" w:cs="Arial"/>
          <w:sz w:val="24"/>
          <w:szCs w:val="24"/>
        </w:rPr>
        <w:t xml:space="preserve"> Obligado</w:t>
      </w:r>
      <w:r w:rsidR="00C257E7" w:rsidRPr="006E5108">
        <w:rPr>
          <w:rFonts w:ascii="Palatino Linotype" w:eastAsia="Calibri" w:hAnsi="Palatino Linotype" w:cs="Arial"/>
          <w:sz w:val="24"/>
          <w:szCs w:val="24"/>
        </w:rPr>
        <w:t>s, deberán ser mayor</w:t>
      </w:r>
      <w:r w:rsidR="00CB796B">
        <w:rPr>
          <w:rFonts w:ascii="Palatino Linotype" w:eastAsia="Calibri" w:hAnsi="Palatino Linotype" w:cs="Arial"/>
          <w:sz w:val="24"/>
          <w:szCs w:val="24"/>
        </w:rPr>
        <w:t xml:space="preserve">mente diligentes en su atención, </w:t>
      </w:r>
      <w:r w:rsidR="00C257E7" w:rsidRPr="006E5108">
        <w:rPr>
          <w:rFonts w:ascii="Palatino Linotype" w:eastAsia="Calibri" w:hAnsi="Palatino Linotype" w:cs="Arial"/>
          <w:sz w:val="24"/>
          <w:szCs w:val="24"/>
        </w:rPr>
        <w:t>proporcionando la información requerida de forma íntegra y expedita</w:t>
      </w:r>
      <w:r w:rsidRPr="006E5108">
        <w:rPr>
          <w:rFonts w:ascii="Palatino Linotype" w:eastAsia="Calibri" w:hAnsi="Palatino Linotype" w:cs="Arial"/>
          <w:sz w:val="24"/>
          <w:szCs w:val="24"/>
        </w:rPr>
        <w:t xml:space="preserve">, </w:t>
      </w:r>
      <w:r w:rsidR="00C257E7" w:rsidRPr="006E5108">
        <w:rPr>
          <w:rFonts w:ascii="Palatino Linotype" w:eastAsia="Calibri" w:hAnsi="Palatino Linotype" w:cs="Arial"/>
          <w:sz w:val="24"/>
          <w:szCs w:val="24"/>
        </w:rPr>
        <w:t>de tal manera que</w:t>
      </w:r>
      <w:r w:rsidR="00CB796B">
        <w:rPr>
          <w:rFonts w:ascii="Palatino Linotype" w:eastAsia="Calibri" w:hAnsi="Palatino Linotype" w:cs="Arial"/>
          <w:sz w:val="24"/>
          <w:szCs w:val="24"/>
        </w:rPr>
        <w:t xml:space="preserve"> se le proporcionen al </w:t>
      </w:r>
      <w:r w:rsidR="00C257E7" w:rsidRPr="006E5108">
        <w:rPr>
          <w:rFonts w:ascii="Palatino Linotype" w:eastAsia="Calibri" w:hAnsi="Palatino Linotype" w:cs="Arial"/>
          <w:sz w:val="24"/>
          <w:szCs w:val="24"/>
        </w:rPr>
        <w:t>particular</w:t>
      </w:r>
      <w:r w:rsidR="00CB796B">
        <w:rPr>
          <w:rFonts w:ascii="Palatino Linotype" w:eastAsia="Calibri" w:hAnsi="Palatino Linotype" w:cs="Arial"/>
          <w:sz w:val="24"/>
          <w:szCs w:val="24"/>
        </w:rPr>
        <w:t xml:space="preserve"> elementos  para </w:t>
      </w:r>
      <w:r w:rsidR="00C257E7" w:rsidRPr="006E5108">
        <w:rPr>
          <w:rFonts w:ascii="Palatino Linotype" w:eastAsia="Calibri" w:hAnsi="Palatino Linotype" w:cs="Arial"/>
          <w:sz w:val="24"/>
          <w:szCs w:val="24"/>
        </w:rPr>
        <w:t>realizar investigaciones</w:t>
      </w:r>
      <w:r w:rsidR="006E5108" w:rsidRPr="006E5108">
        <w:rPr>
          <w:rFonts w:ascii="Palatino Linotype" w:eastAsia="Calibri" w:hAnsi="Palatino Linotype" w:cs="Arial"/>
          <w:sz w:val="24"/>
          <w:szCs w:val="24"/>
        </w:rPr>
        <w:t xml:space="preserve"> o denunciar dichos actos. </w:t>
      </w:r>
    </w:p>
    <w:p w:rsidR="003F3341" w:rsidRPr="006E5108" w:rsidRDefault="003F3341" w:rsidP="008C01BB">
      <w:pPr>
        <w:spacing w:before="240" w:after="240" w:line="360" w:lineRule="auto"/>
        <w:contextualSpacing/>
        <w:jc w:val="both"/>
        <w:rPr>
          <w:rFonts w:ascii="Palatino Linotype" w:hAnsi="Palatino Linotype" w:cs="Arial"/>
          <w:color w:val="000000" w:themeColor="text1"/>
          <w:sz w:val="24"/>
          <w:szCs w:val="24"/>
        </w:rPr>
      </w:pPr>
    </w:p>
    <w:p w:rsidR="003F3341" w:rsidRPr="006E5108" w:rsidRDefault="003F3341" w:rsidP="002B0407">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sidRPr="006E5108">
        <w:rPr>
          <w:rFonts w:ascii="Palatino Linotype" w:eastAsia="Arial" w:hAnsi="Palatino Linotype" w:cs="Arial"/>
          <w:b/>
          <w:color w:val="000000" w:themeColor="text1"/>
          <w:sz w:val="24"/>
          <w:szCs w:val="24"/>
          <w:lang w:eastAsia="es-MX"/>
        </w:rPr>
        <w:tab/>
        <w:t>JOSÉ GUADALUPE LUNA HERNÁNDEZ</w:t>
      </w:r>
      <w:r w:rsidRPr="006E5108">
        <w:rPr>
          <w:rFonts w:ascii="Palatino Linotype" w:eastAsia="Arial" w:hAnsi="Palatino Linotype" w:cs="Arial"/>
          <w:b/>
          <w:color w:val="000000" w:themeColor="text1"/>
          <w:sz w:val="24"/>
          <w:szCs w:val="24"/>
          <w:lang w:eastAsia="es-MX"/>
        </w:rPr>
        <w:tab/>
      </w:r>
    </w:p>
    <w:p w:rsidR="003F3341" w:rsidRDefault="003F3341" w:rsidP="002B0407">
      <w:pPr>
        <w:spacing w:after="0" w:line="240" w:lineRule="auto"/>
        <w:jc w:val="center"/>
        <w:rPr>
          <w:rFonts w:ascii="Palatino Linotype" w:eastAsia="Arial" w:hAnsi="Palatino Linotype" w:cs="Arial"/>
          <w:b/>
          <w:color w:val="000000" w:themeColor="text1"/>
          <w:sz w:val="24"/>
          <w:szCs w:val="24"/>
          <w:lang w:eastAsia="es-MX"/>
        </w:rPr>
      </w:pPr>
      <w:r w:rsidRPr="006E5108">
        <w:rPr>
          <w:rFonts w:ascii="Palatino Linotype" w:eastAsia="Arial" w:hAnsi="Palatino Linotype" w:cs="Arial"/>
          <w:b/>
          <w:color w:val="000000" w:themeColor="text1"/>
          <w:sz w:val="24"/>
          <w:szCs w:val="24"/>
          <w:lang w:eastAsia="es-MX"/>
        </w:rPr>
        <w:t>COMISIONADO</w:t>
      </w:r>
    </w:p>
    <w:p w:rsidR="002B0407" w:rsidRPr="006E5108" w:rsidRDefault="002B0407" w:rsidP="002B0407">
      <w:pPr>
        <w:spacing w:after="0" w:line="24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632F41" w:rsidRPr="006E5108" w:rsidRDefault="00524ACC" w:rsidP="002B0407">
      <w:pPr>
        <w:spacing w:after="0" w:line="240" w:lineRule="auto"/>
        <w:rPr>
          <w:rFonts w:ascii="Palatino Linotype" w:hAnsi="Palatino Linotype"/>
          <w:b/>
          <w:color w:val="000000" w:themeColor="text1"/>
          <w:sz w:val="24"/>
          <w:szCs w:val="24"/>
        </w:rPr>
      </w:pPr>
      <w:r w:rsidRPr="006E5108">
        <w:rPr>
          <w:rFonts w:ascii="Palatino Linotype" w:hAnsi="Palatino Linotype"/>
          <w:b/>
          <w:color w:val="000000" w:themeColor="text1"/>
          <w:sz w:val="24"/>
          <w:szCs w:val="24"/>
        </w:rPr>
        <w:t>JGLH/MPBR</w:t>
      </w:r>
    </w:p>
    <w:sectPr w:rsidR="00632F41" w:rsidRPr="006E5108" w:rsidSect="004B59C1">
      <w:headerReference w:type="even" r:id="rId9"/>
      <w:headerReference w:type="default" r:id="rId10"/>
      <w:footerReference w:type="default" r:id="rId11"/>
      <w:headerReference w:type="first" r:id="rId12"/>
      <w:pgSz w:w="12240" w:h="15840" w:code="1"/>
      <w:pgMar w:top="2269" w:right="1701" w:bottom="297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384" w:rsidRDefault="00E04384" w:rsidP="00DA4297">
      <w:pPr>
        <w:spacing w:after="0" w:line="240" w:lineRule="auto"/>
      </w:pPr>
      <w:r>
        <w:separator/>
      </w:r>
    </w:p>
  </w:endnote>
  <w:endnote w:type="continuationSeparator" w:id="0">
    <w:p w:rsidR="00E04384" w:rsidRDefault="00E04384" w:rsidP="00DA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803400"/>
      <w:docPartObj>
        <w:docPartGallery w:val="Page Numbers (Bottom of Page)"/>
        <w:docPartUnique/>
      </w:docPartObj>
    </w:sdtPr>
    <w:sdtEndPr/>
    <w:sdtContent>
      <w:sdt>
        <w:sdtPr>
          <w:id w:val="-1769616900"/>
          <w:docPartObj>
            <w:docPartGallery w:val="Page Numbers (Top of Page)"/>
            <w:docPartUnique/>
          </w:docPartObj>
        </w:sdtPr>
        <w:sdtEndPr/>
        <w:sdtContent>
          <w:p w:rsidR="00A85E57" w:rsidRDefault="00A85E5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5D16">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5D16">
              <w:rPr>
                <w:b/>
                <w:bCs/>
                <w:noProof/>
              </w:rPr>
              <w:t>10</w:t>
            </w:r>
            <w:r>
              <w:rPr>
                <w:b/>
                <w:bCs/>
                <w:sz w:val="24"/>
                <w:szCs w:val="24"/>
              </w:rPr>
              <w:fldChar w:fldCharType="end"/>
            </w:r>
          </w:p>
        </w:sdtContent>
      </w:sdt>
    </w:sdtContent>
  </w:sdt>
  <w:p w:rsidR="00951E8B" w:rsidRDefault="003B5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384" w:rsidRDefault="00E04384" w:rsidP="00DA4297">
      <w:pPr>
        <w:spacing w:after="0" w:line="240" w:lineRule="auto"/>
      </w:pPr>
      <w:r>
        <w:separator/>
      </w:r>
    </w:p>
  </w:footnote>
  <w:footnote w:type="continuationSeparator" w:id="0">
    <w:p w:rsidR="00E04384" w:rsidRDefault="00E04384" w:rsidP="00DA4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B5D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3" o:spid="_x0000_s2049" type="#_x0000_t136" style="position:absolute;margin-left:0;margin-top:0;width:566.4pt;height:56.6pt;rotation:315;z-index:-251657216;mso-position-horizontal:center;mso-position-horizontal-relative:margin;mso-position-vertical:center;mso-position-vertical-relative:margin" o:allowincell="f" fillcolor="#747070"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B5D16">
    <w:pPr>
      <w:pStyle w:val="Encabezado"/>
    </w:pPr>
  </w:p>
  <w:p w:rsidR="0050137A" w:rsidRDefault="003B5D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0" type="#_x0000_t136" style="position:absolute;margin-left:-63pt;margin-top:224.3pt;width:566.4pt;height:56.6pt;rotation:315;z-index:-251656192;mso-position-horizontal-relative:margin;mso-position-vertical-relative:margin" o:allowincell="f" fillcolor="#747070" stroked="f">
          <v:fill opacity=".5"/>
          <v:textpath style="font-family:&quot;Arial&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B5D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2" o:spid="_x0000_s2051" type="#_x0000_t136" style="position:absolute;margin-left:0;margin-top:0;width:566.4pt;height:56.6pt;rotation:315;z-index:-251655168;mso-position-horizontal:center;mso-position-horizontal-relative:margin;mso-position-vertical:center;mso-position-vertical-relative:margin" o:allowincell="f" fillcolor="#747070"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731"/>
    <w:multiLevelType w:val="hybridMultilevel"/>
    <w:tmpl w:val="5D061B00"/>
    <w:lvl w:ilvl="0" w:tplc="101E8D6E">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04206C9A"/>
    <w:multiLevelType w:val="hybridMultilevel"/>
    <w:tmpl w:val="3640BE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B39485C"/>
    <w:multiLevelType w:val="hybridMultilevel"/>
    <w:tmpl w:val="8DD481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F22082"/>
    <w:multiLevelType w:val="hybridMultilevel"/>
    <w:tmpl w:val="D3C60872"/>
    <w:lvl w:ilvl="0" w:tplc="8E48C92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6EA4405"/>
    <w:multiLevelType w:val="hybridMultilevel"/>
    <w:tmpl w:val="3640BE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E25EEB"/>
    <w:multiLevelType w:val="hybridMultilevel"/>
    <w:tmpl w:val="4B3A64F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BD56BC4"/>
    <w:multiLevelType w:val="hybridMultilevel"/>
    <w:tmpl w:val="310E4B5A"/>
    <w:lvl w:ilvl="0" w:tplc="080A0013">
      <w:start w:val="1"/>
      <w:numFmt w:val="upperRoman"/>
      <w:lvlText w:val="%1."/>
      <w:lvlJc w:val="righ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D6112A"/>
    <w:multiLevelType w:val="hybridMultilevel"/>
    <w:tmpl w:val="7B4CB700"/>
    <w:lvl w:ilvl="0" w:tplc="E44272A4">
      <w:start w:val="6"/>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F842FF"/>
    <w:multiLevelType w:val="hybridMultilevel"/>
    <w:tmpl w:val="CE64771E"/>
    <w:lvl w:ilvl="0" w:tplc="486A61C8">
      <w:start w:val="1"/>
      <w:numFmt w:val="decimal"/>
      <w:lvlText w:val="%1."/>
      <w:lvlJc w:val="left"/>
      <w:pPr>
        <w:ind w:left="1353" w:hanging="360"/>
      </w:pPr>
      <w:rPr>
        <w:rFonts w:hint="default"/>
        <w:sz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6">
    <w:nsid w:val="4E346C9F"/>
    <w:multiLevelType w:val="hybridMultilevel"/>
    <w:tmpl w:val="CD12E88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nsid w:val="50F9263A"/>
    <w:multiLevelType w:val="hybridMultilevel"/>
    <w:tmpl w:val="4DFAECD0"/>
    <w:lvl w:ilvl="0" w:tplc="47B8C7C0">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558460CD"/>
    <w:multiLevelType w:val="hybridMultilevel"/>
    <w:tmpl w:val="95C2A5A4"/>
    <w:lvl w:ilvl="0" w:tplc="389894D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9056C4A"/>
    <w:multiLevelType w:val="hybridMultilevel"/>
    <w:tmpl w:val="47DE87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4">
    <w:nsid w:val="609877DF"/>
    <w:multiLevelType w:val="hybridMultilevel"/>
    <w:tmpl w:val="E47E4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FC431B"/>
    <w:multiLevelType w:val="hybridMultilevel"/>
    <w:tmpl w:val="5A1E9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94729A1"/>
    <w:multiLevelType w:val="hybridMultilevel"/>
    <w:tmpl w:val="589CB0C4"/>
    <w:lvl w:ilvl="0" w:tplc="080A0013">
      <w:start w:val="1"/>
      <w:numFmt w:val="upperRoman"/>
      <w:lvlText w:val="%1."/>
      <w:lvlJc w:val="righ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nsid w:val="6AD301C3"/>
    <w:multiLevelType w:val="hybridMultilevel"/>
    <w:tmpl w:val="A20E7B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847838"/>
    <w:multiLevelType w:val="hybridMultilevel"/>
    <w:tmpl w:val="2A50B5AA"/>
    <w:lvl w:ilvl="0" w:tplc="D3F4EF7C">
      <w:start w:val="1"/>
      <w:numFmt w:val="upperLetter"/>
      <w:lvlText w:val="%1."/>
      <w:lvlJc w:val="left"/>
      <w:pPr>
        <w:ind w:left="92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nsid w:val="74B63DDE"/>
    <w:multiLevelType w:val="hybridMultilevel"/>
    <w:tmpl w:val="7B34D92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C180501"/>
    <w:multiLevelType w:val="hybridMultilevel"/>
    <w:tmpl w:val="FF726E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29"/>
  </w:num>
  <w:num w:numId="4">
    <w:abstractNumId w:val="23"/>
  </w:num>
  <w:num w:numId="5">
    <w:abstractNumId w:val="26"/>
  </w:num>
  <w:num w:numId="6">
    <w:abstractNumId w:val="18"/>
  </w:num>
  <w:num w:numId="7">
    <w:abstractNumId w:val="7"/>
  </w:num>
  <w:num w:numId="8">
    <w:abstractNumId w:val="8"/>
  </w:num>
  <w:num w:numId="9">
    <w:abstractNumId w:val="10"/>
  </w:num>
  <w:num w:numId="10">
    <w:abstractNumId w:val="28"/>
  </w:num>
  <w:num w:numId="11">
    <w:abstractNumId w:val="25"/>
  </w:num>
  <w:num w:numId="12">
    <w:abstractNumId w:val="4"/>
  </w:num>
  <w:num w:numId="13">
    <w:abstractNumId w:val="13"/>
  </w:num>
  <w:num w:numId="14">
    <w:abstractNumId w:val="27"/>
  </w:num>
  <w:num w:numId="15">
    <w:abstractNumId w:val="1"/>
  </w:num>
  <w:num w:numId="16">
    <w:abstractNumId w:val="17"/>
  </w:num>
  <w:num w:numId="17">
    <w:abstractNumId w:val="15"/>
  </w:num>
  <w:num w:numId="18">
    <w:abstractNumId w:val="6"/>
  </w:num>
  <w:num w:numId="19">
    <w:abstractNumId w:val="30"/>
  </w:num>
  <w:num w:numId="20">
    <w:abstractNumId w:val="31"/>
  </w:num>
  <w:num w:numId="21">
    <w:abstractNumId w:val="24"/>
  </w:num>
  <w:num w:numId="22">
    <w:abstractNumId w:val="19"/>
  </w:num>
  <w:num w:numId="23">
    <w:abstractNumId w:val="0"/>
  </w:num>
  <w:num w:numId="24">
    <w:abstractNumId w:val="33"/>
  </w:num>
  <w:num w:numId="25">
    <w:abstractNumId w:val="21"/>
  </w:num>
  <w:num w:numId="26">
    <w:abstractNumId w:val="5"/>
  </w:num>
  <w:num w:numId="27">
    <w:abstractNumId w:val="20"/>
  </w:num>
  <w:num w:numId="28">
    <w:abstractNumId w:val="22"/>
  </w:num>
  <w:num w:numId="29">
    <w:abstractNumId w:val="3"/>
  </w:num>
  <w:num w:numId="30">
    <w:abstractNumId w:val="32"/>
  </w:num>
  <w:num w:numId="31">
    <w:abstractNumId w:val="2"/>
  </w:num>
  <w:num w:numId="32">
    <w:abstractNumId w:val="14"/>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97"/>
    <w:rsid w:val="000125F6"/>
    <w:rsid w:val="00025C2A"/>
    <w:rsid w:val="000526B8"/>
    <w:rsid w:val="000A178B"/>
    <w:rsid w:val="000D09A2"/>
    <w:rsid w:val="000F38B5"/>
    <w:rsid w:val="0013367F"/>
    <w:rsid w:val="00151340"/>
    <w:rsid w:val="001A67CD"/>
    <w:rsid w:val="00204253"/>
    <w:rsid w:val="00204F74"/>
    <w:rsid w:val="00261165"/>
    <w:rsid w:val="00276D8A"/>
    <w:rsid w:val="002B0407"/>
    <w:rsid w:val="0037468B"/>
    <w:rsid w:val="003B3E98"/>
    <w:rsid w:val="003B5D16"/>
    <w:rsid w:val="003F3341"/>
    <w:rsid w:val="004219D8"/>
    <w:rsid w:val="004378EB"/>
    <w:rsid w:val="00485165"/>
    <w:rsid w:val="00524ACC"/>
    <w:rsid w:val="00524EB1"/>
    <w:rsid w:val="00550341"/>
    <w:rsid w:val="00565EEB"/>
    <w:rsid w:val="005755EF"/>
    <w:rsid w:val="00581AE4"/>
    <w:rsid w:val="005A24F1"/>
    <w:rsid w:val="005A4494"/>
    <w:rsid w:val="005C6D81"/>
    <w:rsid w:val="00632F41"/>
    <w:rsid w:val="0065213A"/>
    <w:rsid w:val="006723DB"/>
    <w:rsid w:val="00675E87"/>
    <w:rsid w:val="006910C2"/>
    <w:rsid w:val="006E5108"/>
    <w:rsid w:val="007E12BC"/>
    <w:rsid w:val="00817147"/>
    <w:rsid w:val="00826C56"/>
    <w:rsid w:val="00833E4B"/>
    <w:rsid w:val="008352A7"/>
    <w:rsid w:val="008654C5"/>
    <w:rsid w:val="00866ECB"/>
    <w:rsid w:val="008C01BB"/>
    <w:rsid w:val="008E4351"/>
    <w:rsid w:val="00913337"/>
    <w:rsid w:val="009316A2"/>
    <w:rsid w:val="00936A5F"/>
    <w:rsid w:val="009B5171"/>
    <w:rsid w:val="009B66A7"/>
    <w:rsid w:val="00A073ED"/>
    <w:rsid w:val="00A41C66"/>
    <w:rsid w:val="00A85E57"/>
    <w:rsid w:val="00AD02B7"/>
    <w:rsid w:val="00AE7D98"/>
    <w:rsid w:val="00B350FA"/>
    <w:rsid w:val="00B35764"/>
    <w:rsid w:val="00BC0479"/>
    <w:rsid w:val="00BC1A7B"/>
    <w:rsid w:val="00C05CEB"/>
    <w:rsid w:val="00C257E7"/>
    <w:rsid w:val="00C638B2"/>
    <w:rsid w:val="00CB796B"/>
    <w:rsid w:val="00CC391B"/>
    <w:rsid w:val="00DA4297"/>
    <w:rsid w:val="00DE6B53"/>
    <w:rsid w:val="00DF4BDB"/>
    <w:rsid w:val="00E04384"/>
    <w:rsid w:val="00E1564F"/>
    <w:rsid w:val="00E30291"/>
    <w:rsid w:val="00E45A42"/>
    <w:rsid w:val="00E71573"/>
    <w:rsid w:val="00E9653F"/>
    <w:rsid w:val="00EB223E"/>
    <w:rsid w:val="00EB3BD9"/>
    <w:rsid w:val="00F14D0C"/>
    <w:rsid w:val="00F8223F"/>
    <w:rsid w:val="00FE5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349FA6B-77B5-4889-A256-3A5BDA53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E57"/>
  </w:style>
  <w:style w:type="paragraph" w:styleId="Ttulo1">
    <w:name w:val="heading 1"/>
    <w:basedOn w:val="Normal"/>
    <w:next w:val="Normal"/>
    <w:link w:val="Ttulo1Car"/>
    <w:uiPriority w:val="9"/>
    <w:qFormat/>
    <w:rsid w:val="00025C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A4297"/>
    <w:pPr>
      <w:spacing w:after="0" w:line="240" w:lineRule="auto"/>
    </w:pPr>
    <w:rPr>
      <w:sz w:val="20"/>
      <w:szCs w:val="20"/>
    </w:rPr>
  </w:style>
  <w:style w:type="character" w:customStyle="1" w:styleId="TextonotapieCar">
    <w:name w:val="Texto nota pie Car"/>
    <w:basedOn w:val="Fuentedeprrafopredeter"/>
    <w:link w:val="Textonotapie"/>
    <w:uiPriority w:val="99"/>
    <w:rsid w:val="00DA429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DA4297"/>
    <w:rPr>
      <w:vertAlign w:val="superscript"/>
    </w:rPr>
  </w:style>
  <w:style w:type="paragraph" w:styleId="Piedepgina">
    <w:name w:val="footer"/>
    <w:basedOn w:val="Normal"/>
    <w:link w:val="PiedepginaCar"/>
    <w:uiPriority w:val="99"/>
    <w:unhideWhenUsed/>
    <w:rsid w:val="00DA4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4297"/>
  </w:style>
  <w:style w:type="paragraph" w:styleId="Encabezado">
    <w:name w:val="header"/>
    <w:basedOn w:val="Normal"/>
    <w:link w:val="EncabezadoCar"/>
    <w:uiPriority w:val="99"/>
    <w:unhideWhenUsed/>
    <w:rsid w:val="00DA4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4297"/>
  </w:style>
  <w:style w:type="table" w:styleId="Tablaconcuadrcula">
    <w:name w:val="Table Grid"/>
    <w:basedOn w:val="Tablanormal"/>
    <w:uiPriority w:val="39"/>
    <w:rsid w:val="00DA4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A4297"/>
    <w:rPr>
      <w:color w:val="0563C1" w:themeColor="hyperlink"/>
      <w:u w:val="single"/>
    </w:rPr>
  </w:style>
  <w:style w:type="table" w:styleId="Tablanormal1">
    <w:name w:val="Plain Table 1"/>
    <w:basedOn w:val="Tablanormal"/>
    <w:uiPriority w:val="41"/>
    <w:rsid w:val="00DA429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link w:val="PrrafodelistaCar"/>
    <w:uiPriority w:val="72"/>
    <w:qFormat/>
    <w:rsid w:val="00A85E57"/>
    <w:pPr>
      <w:ind w:left="720"/>
      <w:contextualSpacing/>
    </w:pPr>
  </w:style>
  <w:style w:type="paragraph" w:customStyle="1" w:styleId="j">
    <w:name w:val="j"/>
    <w:basedOn w:val="Normal"/>
    <w:rsid w:val="00A85E57"/>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A85E57"/>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
    <w:name w:val="Título 1 Car"/>
    <w:basedOn w:val="Fuentedeprrafopredeter"/>
    <w:link w:val="Ttulo1"/>
    <w:uiPriority w:val="9"/>
    <w:rsid w:val="00025C2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025C2A"/>
    <w:pPr>
      <w:outlineLvl w:val="9"/>
    </w:pPr>
    <w:rPr>
      <w:lang w:eastAsia="es-MX"/>
    </w:rPr>
  </w:style>
  <w:style w:type="paragraph" w:styleId="ndice1">
    <w:name w:val="index 1"/>
    <w:basedOn w:val="Normal"/>
    <w:next w:val="Normal"/>
    <w:autoRedefine/>
    <w:uiPriority w:val="99"/>
    <w:semiHidden/>
    <w:unhideWhenUsed/>
    <w:rsid w:val="00025C2A"/>
    <w:pPr>
      <w:spacing w:after="0" w:line="240" w:lineRule="auto"/>
      <w:ind w:left="220" w:hanging="220"/>
    </w:pPr>
  </w:style>
  <w:style w:type="character" w:customStyle="1" w:styleId="Ttulo2Car">
    <w:name w:val="Título 2 Car"/>
    <w:basedOn w:val="Fuentedeprrafopredeter"/>
    <w:link w:val="Ttulo2"/>
    <w:uiPriority w:val="9"/>
    <w:rsid w:val="00025C2A"/>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E5108"/>
    <w:pPr>
      <w:tabs>
        <w:tab w:val="left" w:pos="880"/>
        <w:tab w:val="right" w:leader="dot" w:pos="8828"/>
      </w:tabs>
      <w:spacing w:after="100"/>
    </w:pPr>
  </w:style>
  <w:style w:type="paragraph" w:styleId="TDC1">
    <w:name w:val="toc 1"/>
    <w:basedOn w:val="Normal"/>
    <w:next w:val="Normal"/>
    <w:autoRedefine/>
    <w:uiPriority w:val="39"/>
    <w:unhideWhenUsed/>
    <w:rsid w:val="00E1564F"/>
    <w:pPr>
      <w:spacing w:after="100"/>
    </w:pPr>
    <w:rPr>
      <w:rFonts w:eastAsiaTheme="minorEastAsia" w:cs="Times New Roman"/>
      <w:lang w:eastAsia="es-MX"/>
    </w:rPr>
  </w:style>
  <w:style w:type="paragraph" w:styleId="TDC3">
    <w:name w:val="toc 3"/>
    <w:basedOn w:val="Normal"/>
    <w:next w:val="Normal"/>
    <w:autoRedefine/>
    <w:uiPriority w:val="39"/>
    <w:unhideWhenUsed/>
    <w:rsid w:val="00E1564F"/>
    <w:pPr>
      <w:spacing w:after="100"/>
      <w:ind w:left="440"/>
    </w:pPr>
    <w:rPr>
      <w:rFonts w:eastAsiaTheme="minorEastAsia" w:cs="Times New Roman"/>
      <w:lang w:eastAsia="es-MX"/>
    </w:rPr>
  </w:style>
  <w:style w:type="paragraph" w:styleId="Textodeglobo">
    <w:name w:val="Balloon Text"/>
    <w:basedOn w:val="Normal"/>
    <w:link w:val="TextodegloboCar"/>
    <w:uiPriority w:val="99"/>
    <w:semiHidden/>
    <w:unhideWhenUsed/>
    <w:rsid w:val="00E156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64F"/>
    <w:rPr>
      <w:rFonts w:ascii="Segoe UI" w:hAnsi="Segoe UI" w:cs="Segoe UI"/>
      <w:sz w:val="18"/>
      <w:szCs w:val="18"/>
    </w:rPr>
  </w:style>
  <w:style w:type="character" w:customStyle="1" w:styleId="PrrafodelistaCar">
    <w:name w:val="Párrafo de lista Car"/>
    <w:link w:val="Prrafodelista"/>
    <w:uiPriority w:val="72"/>
    <w:qFormat/>
    <w:locked/>
    <w:rsid w:val="000F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36453">
      <w:bodyDiv w:val="1"/>
      <w:marLeft w:val="0"/>
      <w:marRight w:val="0"/>
      <w:marTop w:val="0"/>
      <w:marBottom w:val="0"/>
      <w:divBdr>
        <w:top w:val="none" w:sz="0" w:space="0" w:color="auto"/>
        <w:left w:val="none" w:sz="0" w:space="0" w:color="auto"/>
        <w:bottom w:val="none" w:sz="0" w:space="0" w:color="auto"/>
        <w:right w:val="none" w:sz="0" w:space="0" w:color="auto"/>
      </w:divBdr>
    </w:div>
    <w:div w:id="19590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D038-6321-4238-AF42-4E325C9F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2043</Words>
  <Characters>11239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2018-09-17T22:40:00Z</cp:lastPrinted>
  <dcterms:created xsi:type="dcterms:W3CDTF">2018-10-29T17:27:00Z</dcterms:created>
  <dcterms:modified xsi:type="dcterms:W3CDTF">2018-10-29T17:27:00Z</dcterms:modified>
</cp:coreProperties>
</file>